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bookmarkStart w:colFirst="0" w:colLast="0" w:name="_heading=h.gjdgxs" w:id="1"/>
      <w:bookmarkEnd w:id="1"/>
      <w:r w:rsidDel="00000000" w:rsidR="00000000" w:rsidRPr="00000000">
        <w:rPr>
          <w:rFonts w:ascii="Arial" w:cs="Arial" w:eastAsia="Arial" w:hAnsi="Arial"/>
          <w:b w:val="1"/>
          <w:color w:val="000000"/>
          <w:sz w:val="36"/>
          <w:szCs w:val="36"/>
          <w:rtl w:val="0"/>
        </w:rPr>
        <w:t xml:space="preserve">Framework Schedule 7 (Call-Off Award Procedure</w:t>
      </w:r>
      <w:bookmarkStart w:colFirst="0" w:colLast="0" w:name="bookmark=id.gjdgxs" w:id="0"/>
      <w:bookmarkEnd w:id="0"/>
      <w:r w:rsidDel="00000000" w:rsidR="00000000" w:rsidRPr="00000000">
        <w:rPr>
          <w:rFonts w:ascii="Arial" w:cs="Arial" w:eastAsia="Arial" w:hAnsi="Arial"/>
          <w:b w:val="1"/>
          <w:color w:val="000000"/>
          <w:sz w:val="36"/>
          <w:szCs w:val="36"/>
          <w:rtl w:val="0"/>
        </w:rPr>
        <w:t xml:space="preserve">) </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Part 1: Order Procedure</w:t>
      </w:r>
    </w:p>
    <w:p w:rsidR="00000000" w:rsidDel="00000000" w:rsidP="00000000" w:rsidRDefault="00000000" w:rsidRPr="00000000" w14:paraId="00000003">
      <w:pPr>
        <w:keepNext w:val="1"/>
        <w:widowControl w:val="1"/>
        <w:numPr>
          <w:ilvl w:val="0"/>
          <w:numId w:val="4"/>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Call-Off Contract is awarded</w:t>
      </w:r>
    </w:p>
    <w:p w:rsidR="00000000" w:rsidDel="00000000" w:rsidP="00000000" w:rsidRDefault="00000000" w:rsidRPr="00000000" w14:paraId="00000004">
      <w:pPr>
        <w:widowControl w:val="1"/>
        <w:numPr>
          <w:ilvl w:val="1"/>
          <w:numId w:val="2"/>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30j0zll" w:id="2"/>
      <w:bookmarkEnd w:id="2"/>
      <w:r w:rsidDel="00000000" w:rsidR="00000000" w:rsidRPr="00000000">
        <w:rPr>
          <w:rFonts w:ascii="Arial" w:cs="Arial" w:eastAsia="Arial" w:hAnsi="Arial"/>
          <w:color w:val="000000"/>
          <w:sz w:val="24"/>
          <w:szCs w:val="24"/>
          <w:rtl w:val="0"/>
        </w:rPr>
        <w:t xml:space="preserve">If a potential Buyer decides to source Deliverables through this Contract then it will award its Deliverables in accordance with the procedure in this Schedule and the requirements of the Regulations.</w:t>
      </w:r>
    </w:p>
    <w:p w:rsidR="00000000" w:rsidDel="00000000" w:rsidP="00000000" w:rsidRDefault="00000000" w:rsidRPr="00000000" w14:paraId="00000005">
      <w:pPr>
        <w:keepNext w:val="1"/>
        <w:widowControl w:val="1"/>
        <w:numPr>
          <w:ilvl w:val="1"/>
          <w:numId w:val="2"/>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1fob9te" w:id="3"/>
      <w:bookmarkEnd w:id="3"/>
      <w:r w:rsidDel="00000000" w:rsidR="00000000" w:rsidRPr="00000000">
        <w:rPr>
          <w:rFonts w:ascii="Arial" w:cs="Arial" w:eastAsia="Arial" w:hAnsi="Arial"/>
          <w:color w:val="000000"/>
          <w:sz w:val="24"/>
          <w:szCs w:val="24"/>
          <w:rtl w:val="0"/>
        </w:rPr>
        <w:t xml:space="preserve">If the potential Buyer can determine that:</w:t>
      </w:r>
    </w:p>
    <w:p w:rsidR="00000000" w:rsidDel="00000000" w:rsidP="00000000" w:rsidRDefault="00000000" w:rsidRPr="00000000" w14:paraId="00000006">
      <w:pPr>
        <w:widowControl w:val="1"/>
        <w:numPr>
          <w:ilvl w:val="2"/>
          <w:numId w:val="2"/>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Deliverables can be met by the Suppliers’ catalogues and description of the Deliverables as set out in Framework Schedule 1 (Specification) and Framework Schedule 2 (Framework Tender); and</w:t>
      </w:r>
    </w:p>
    <w:p w:rsidR="00000000" w:rsidDel="00000000" w:rsidP="00000000" w:rsidRDefault="00000000" w:rsidRPr="00000000" w14:paraId="00000007">
      <w:pPr>
        <w:widowControl w:val="1"/>
        <w:numPr>
          <w:ilvl w:val="2"/>
          <w:numId w:val="2"/>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of the terms of the proposed Call-Off Contract are laid down in this Contract and do not require amendment or any supplementary terms and conditions;</w:t>
      </w:r>
    </w:p>
    <w:p w:rsidR="00000000" w:rsidDel="00000000" w:rsidP="00000000" w:rsidRDefault="00000000" w:rsidRPr="00000000" w14:paraId="00000008">
      <w:pPr>
        <w:widowControl w:val="1"/>
        <w:pBdr>
          <w:top w:space="0" w:sz="0" w:val="nil"/>
          <w:left w:space="0" w:sz="0" w:val="nil"/>
          <w:bottom w:space="0" w:sz="0" w:val="nil"/>
          <w:right w:space="0" w:sz="0" w:val="nil"/>
          <w:between w:space="0" w:sz="0" w:val="nil"/>
        </w:pBdr>
        <w:tabs>
          <w:tab w:val="left" w:pos="4536"/>
        </w:tabs>
        <w:spacing w:after="2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procedure set out in Paragraph 2 below.</w:t>
      </w:r>
    </w:p>
    <w:p w:rsidR="00000000" w:rsidDel="00000000" w:rsidP="00000000" w:rsidRDefault="00000000" w:rsidRPr="00000000" w14:paraId="00000009">
      <w:pPr>
        <w:keepNext w:val="1"/>
        <w:widowControl w:val="1"/>
        <w:numPr>
          <w:ilvl w:val="1"/>
          <w:numId w:val="2"/>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all of the terms of the proposed Call-Off Contract are not laid down in this Contract and the potential Buyer:</w:t>
      </w:r>
    </w:p>
    <w:p w:rsidR="00000000" w:rsidDel="00000000" w:rsidP="00000000" w:rsidRDefault="00000000" w:rsidRPr="00000000" w14:paraId="0000000A">
      <w:pPr>
        <w:widowControl w:val="1"/>
        <w:numPr>
          <w:ilvl w:val="2"/>
          <w:numId w:val="2"/>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requires the Supplier to develop proposals or a solution in respect of such Deliverables; and/or</w:t>
      </w:r>
    </w:p>
    <w:p w:rsidR="00000000" w:rsidDel="00000000" w:rsidP="00000000" w:rsidRDefault="00000000" w:rsidRPr="00000000" w14:paraId="0000000B">
      <w:pPr>
        <w:widowControl w:val="1"/>
        <w:numPr>
          <w:ilvl w:val="2"/>
          <w:numId w:val="2"/>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needs to amend or refine the terms of the Framework Contract to reflect its Deliverables to the extent permitted by and in accordance with the Regulations;</w:t>
      </w:r>
    </w:p>
    <w:p w:rsidR="00000000" w:rsidDel="00000000" w:rsidP="00000000" w:rsidRDefault="00000000" w:rsidRPr="00000000" w14:paraId="0000000C">
      <w:pPr>
        <w:widowControl w:val="1"/>
        <w:pBdr>
          <w:top w:space="0" w:sz="0" w:val="nil"/>
          <w:left w:space="0" w:sz="0" w:val="nil"/>
          <w:bottom w:space="0" w:sz="0" w:val="nil"/>
          <w:right w:space="0" w:sz="0" w:val="nil"/>
          <w:between w:space="0" w:sz="0" w:val="nil"/>
        </w:pBdr>
        <w:tabs>
          <w:tab w:val="left" w:pos="4536"/>
        </w:tabs>
        <w:spacing w:after="220" w:lineRule="auto"/>
        <w:ind w:left="90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Further Competition Procedure set out in Paragraph 3 below.</w:t>
      </w:r>
    </w:p>
    <w:p w:rsidR="00000000" w:rsidDel="00000000" w:rsidP="00000000" w:rsidRDefault="00000000" w:rsidRPr="00000000" w14:paraId="0000000D">
      <w:pPr>
        <w:keepNext w:val="1"/>
        <w:widowControl w:val="1"/>
        <w:numPr>
          <w:ilvl w:val="0"/>
          <w:numId w:val="2"/>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direct award works</w:t>
      </w:r>
    </w:p>
    <w:p w:rsidR="00000000" w:rsidDel="00000000" w:rsidP="00000000" w:rsidRDefault="00000000" w:rsidRPr="00000000" w14:paraId="0000000E">
      <w:pPr>
        <w:keepNext w:val="1"/>
        <w:widowControl w:val="1"/>
        <w:numPr>
          <w:ilvl w:val="1"/>
          <w:numId w:val="2"/>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1.2 above the Buyer awarding a Call-Off Contract under this Contract without holding a further competition shall:</w:t>
      </w:r>
    </w:p>
    <w:p w:rsidR="00000000" w:rsidDel="00000000" w:rsidP="00000000" w:rsidRDefault="00000000" w:rsidRPr="00000000" w14:paraId="0000000F">
      <w:pPr>
        <w:widowControl w:val="1"/>
        <w:numPr>
          <w:ilvl w:val="2"/>
          <w:numId w:val="2"/>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develop a clear Statement of Requirements;</w:t>
      </w:r>
    </w:p>
    <w:p w:rsidR="00000000" w:rsidDel="00000000" w:rsidP="00000000" w:rsidRDefault="00000000" w:rsidRPr="00000000" w14:paraId="00000010">
      <w:pPr>
        <w:widowControl w:val="1"/>
        <w:numPr>
          <w:ilvl w:val="2"/>
          <w:numId w:val="2"/>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apply the direct award criteria to the Suppliers’ catalogues and description of the Deliverables as set out in Framework Schedule 1 (Specification) and Framework Schedule 2 (Framework Tender) for all Suppliers capable of meeting the Statement of Requirements in order to establish which Supplier provides the most economically advantageous solution; and</w:t>
      </w:r>
    </w:p>
    <w:p w:rsidR="00000000" w:rsidDel="00000000" w:rsidP="00000000" w:rsidRDefault="00000000" w:rsidRPr="00000000" w14:paraId="00000011">
      <w:pPr>
        <w:widowControl w:val="1"/>
        <w:numPr>
          <w:ilvl w:val="2"/>
          <w:numId w:val="2"/>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the basis set out above, award the Call-Off Contract with the successful Supplier in accordance with Paragraph 6 below.</w:t>
      </w:r>
    </w:p>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tabs>
          <w:tab w:val="left" w:pos="3641"/>
        </w:tabs>
        <w:spacing w:after="120" w:before="120" w:lineRule="auto"/>
        <w:ind w:left="1985"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3">
      <w:pPr>
        <w:keepNext w:val="1"/>
        <w:widowControl w:val="1"/>
        <w:numPr>
          <w:ilvl w:val="0"/>
          <w:numId w:val="2"/>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further competition works</w:t>
      </w:r>
    </w:p>
    <w:p w:rsidR="00000000" w:rsidDel="00000000" w:rsidP="00000000" w:rsidRDefault="00000000" w:rsidRPr="00000000" w14:paraId="00000014">
      <w:pPr>
        <w:keepNext w:val="1"/>
        <w:widowControl w:val="1"/>
        <w:pBdr>
          <w:top w:space="0" w:sz="0" w:val="nil"/>
          <w:left w:space="0" w:sz="0" w:val="nil"/>
          <w:bottom w:space="0" w:sz="0" w:val="nil"/>
          <w:right w:space="0" w:sz="0" w:val="nil"/>
          <w:between w:space="0" w:sz="0" w:val="nil"/>
        </w:pBdr>
        <w:tabs>
          <w:tab w:val="left" w:pos="3054"/>
        </w:tabs>
        <w:spacing w:after="120" w:before="120" w:lineRule="auto"/>
        <w:ind w:left="1134" w:hanging="77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Buyer has to do</w:t>
      </w:r>
    </w:p>
    <w:p w:rsidR="00000000" w:rsidDel="00000000" w:rsidP="00000000" w:rsidRDefault="00000000" w:rsidRPr="00000000" w14:paraId="00000015">
      <w:pPr>
        <w:widowControl w:val="1"/>
        <w:numPr>
          <w:ilvl w:val="1"/>
          <w:numId w:val="2"/>
        </w:numPr>
        <w:pBdr>
          <w:top w:space="0" w:sz="0" w:val="nil"/>
          <w:left w:space="0" w:sz="0" w:val="nil"/>
          <w:bottom w:space="0" w:sz="0" w:val="nil"/>
          <w:right w:space="0" w:sz="0" w:val="nil"/>
          <w:between w:space="0" w:sz="0" w:val="nil"/>
        </w:pBdr>
        <w:spacing w:after="280" w:before="120" w:line="259" w:lineRule="auto"/>
        <w:ind w:left="1080" w:hanging="360"/>
        <w:jc w:val="both"/>
        <w:rPr/>
      </w:pPr>
      <w:r w:rsidDel="00000000" w:rsidR="00000000" w:rsidRPr="00000000">
        <w:rPr>
          <w:rFonts w:ascii="Arial" w:cs="Arial" w:eastAsia="Arial" w:hAnsi="Arial"/>
          <w:color w:val="000000"/>
          <w:rtl w:val="0"/>
        </w:rPr>
        <w:t xml:space="preserve">If applicable, the Buyer may use the following procedure to shortlist Suppliers before entering into a Further Competition Procedure: </w:t>
      </w:r>
      <w:r w:rsidDel="00000000" w:rsidR="00000000" w:rsidRPr="00000000">
        <w:rPr>
          <w:rtl w:val="0"/>
        </w:rPr>
      </w:r>
    </w:p>
    <w:p w:rsidR="00000000" w:rsidDel="00000000" w:rsidP="00000000" w:rsidRDefault="00000000" w:rsidRPr="00000000" w14:paraId="00000016">
      <w:pPr>
        <w:widowControl w:val="1"/>
        <w:numPr>
          <w:ilvl w:val="2"/>
          <w:numId w:val="2"/>
        </w:numPr>
        <w:pBdr>
          <w:top w:space="0" w:sz="0" w:val="nil"/>
          <w:left w:space="0" w:sz="0" w:val="nil"/>
          <w:bottom w:space="0" w:sz="0" w:val="nil"/>
          <w:right w:space="0" w:sz="0" w:val="nil"/>
          <w:between w:space="0" w:sz="0" w:val="nil"/>
        </w:pBdr>
        <w:spacing w:after="280" w:before="120" w:line="259" w:lineRule="auto"/>
        <w:ind w:left="2610" w:hanging="720"/>
        <w:rPr/>
      </w:pPr>
      <w:r w:rsidDel="00000000" w:rsidR="00000000" w:rsidRPr="00000000">
        <w:rPr>
          <w:rFonts w:ascii="Arial" w:cs="Arial" w:eastAsia="Arial" w:hAnsi="Arial"/>
          <w:color w:val="000000"/>
          <w:rtl w:val="0"/>
        </w:rPr>
        <w:t xml:space="preserve">Service Filters – The Buyer will produce a Supplier shortlist based on the Service Filters. </w:t>
      </w:r>
      <w:r w:rsidDel="00000000" w:rsidR="00000000" w:rsidRPr="00000000">
        <w:rPr>
          <w:rtl w:val="0"/>
        </w:rPr>
      </w:r>
    </w:p>
    <w:p w:rsidR="00000000" w:rsidDel="00000000" w:rsidP="00000000" w:rsidRDefault="00000000" w:rsidRPr="00000000" w14:paraId="00000017">
      <w:pPr>
        <w:widowControl w:val="1"/>
        <w:numPr>
          <w:ilvl w:val="2"/>
          <w:numId w:val="2"/>
        </w:numPr>
        <w:pBdr>
          <w:top w:space="0" w:sz="0" w:val="nil"/>
          <w:left w:space="0" w:sz="0" w:val="nil"/>
          <w:bottom w:space="0" w:sz="0" w:val="nil"/>
          <w:right w:space="0" w:sz="0" w:val="nil"/>
          <w:between w:space="0" w:sz="0" w:val="nil"/>
        </w:pBdr>
        <w:spacing w:after="280" w:before="120" w:line="259" w:lineRule="auto"/>
        <w:ind w:left="2610" w:hanging="720"/>
        <w:rPr/>
      </w:pPr>
      <w:r w:rsidDel="00000000" w:rsidR="00000000" w:rsidRPr="00000000">
        <w:rPr>
          <w:rFonts w:ascii="Arial" w:cs="Arial" w:eastAsia="Arial" w:hAnsi="Arial"/>
          <w:color w:val="000000"/>
          <w:rtl w:val="0"/>
        </w:rPr>
        <w:t xml:space="preserve">Expression Of Interest (EOI) – The Buyer may use an EOI process to produce a Supplier shortlist. The EOI may contain the following details but is not limited to: scope, scale, timescales, incumbent supplier, grades, payment terms, capacity and/or budget. </w:t>
      </w:r>
      <w:r w:rsidDel="00000000" w:rsidR="00000000" w:rsidRPr="00000000">
        <w:rPr>
          <w:rtl w:val="0"/>
        </w:rPr>
      </w:r>
    </w:p>
    <w:p w:rsidR="00000000" w:rsidDel="00000000" w:rsidP="00000000" w:rsidRDefault="00000000" w:rsidRPr="00000000" w14:paraId="00000018">
      <w:pPr>
        <w:widowControl w:val="1"/>
        <w:numPr>
          <w:ilvl w:val="2"/>
          <w:numId w:val="2"/>
        </w:numPr>
        <w:pBdr>
          <w:top w:space="0" w:sz="0" w:val="nil"/>
          <w:left w:space="0" w:sz="0" w:val="nil"/>
          <w:bottom w:space="0" w:sz="0" w:val="nil"/>
          <w:right w:space="0" w:sz="0" w:val="nil"/>
          <w:between w:space="0" w:sz="0" w:val="nil"/>
        </w:pBdr>
        <w:spacing w:after="280" w:before="120" w:line="259" w:lineRule="auto"/>
        <w:ind w:left="2610" w:hanging="720"/>
        <w:rPr/>
      </w:pPr>
      <w:r w:rsidDel="00000000" w:rsidR="00000000" w:rsidRPr="00000000">
        <w:rPr>
          <w:rFonts w:ascii="Arial" w:cs="Arial" w:eastAsia="Arial" w:hAnsi="Arial"/>
          <w:color w:val="000000"/>
          <w:rtl w:val="0"/>
        </w:rPr>
        <w:t xml:space="preserve">Service Filters and Expression of Interest – The Buyer may use both of the procedures detailed in paragraph 3.1.2 and 3.1.3. </w:t>
      </w:r>
      <w:r w:rsidDel="00000000" w:rsidR="00000000" w:rsidRPr="00000000">
        <w:rPr>
          <w:rtl w:val="0"/>
        </w:rPr>
      </w:r>
    </w:p>
    <w:p w:rsidR="00000000" w:rsidDel="00000000" w:rsidP="00000000" w:rsidRDefault="00000000" w:rsidRPr="00000000" w14:paraId="00000019">
      <w:pPr>
        <w:widowControl w:val="1"/>
        <w:numPr>
          <w:ilvl w:val="2"/>
          <w:numId w:val="2"/>
        </w:numPr>
        <w:pBdr>
          <w:top w:space="0" w:sz="0" w:val="nil"/>
          <w:left w:space="0" w:sz="0" w:val="nil"/>
          <w:bottom w:space="0" w:sz="0" w:val="nil"/>
          <w:right w:space="0" w:sz="0" w:val="nil"/>
          <w:between w:space="0" w:sz="0" w:val="nil"/>
        </w:pBdr>
        <w:spacing w:after="280" w:before="120" w:line="259" w:lineRule="auto"/>
        <w:ind w:left="2610" w:hanging="720"/>
        <w:rPr/>
      </w:pPr>
      <w:r w:rsidDel="00000000" w:rsidR="00000000" w:rsidRPr="00000000">
        <w:rPr>
          <w:rFonts w:ascii="Arial" w:cs="Arial" w:eastAsia="Arial" w:hAnsi="Arial"/>
          <w:color w:val="000000"/>
          <w:rtl w:val="0"/>
        </w:rPr>
        <w:t xml:space="preserve">Conference call – The Buyer may use this after the EOI. The Buyer will provide further information on its requirement and Suppliers may have the opportunity to raise queries. </w:t>
      </w:r>
      <w:r w:rsidDel="00000000" w:rsidR="00000000" w:rsidRPr="00000000">
        <w:rPr>
          <w:rtl w:val="0"/>
        </w:rPr>
      </w:r>
    </w:p>
    <w:p w:rsidR="00000000" w:rsidDel="00000000" w:rsidP="00000000" w:rsidRDefault="00000000" w:rsidRPr="00000000" w14:paraId="0000001A">
      <w:pPr>
        <w:widowControl w:val="1"/>
        <w:numPr>
          <w:ilvl w:val="2"/>
          <w:numId w:val="2"/>
        </w:numPr>
        <w:pBdr>
          <w:top w:space="0" w:sz="0" w:val="nil"/>
          <w:left w:space="0" w:sz="0" w:val="nil"/>
          <w:bottom w:space="0" w:sz="0" w:val="nil"/>
          <w:right w:space="0" w:sz="0" w:val="nil"/>
          <w:between w:space="0" w:sz="0" w:val="nil"/>
        </w:pBdr>
        <w:spacing w:after="280" w:before="120" w:line="259" w:lineRule="auto"/>
        <w:ind w:left="2610" w:hanging="720"/>
        <w:rPr/>
      </w:pPr>
      <w:r w:rsidDel="00000000" w:rsidR="00000000" w:rsidRPr="00000000">
        <w:rPr>
          <w:rFonts w:ascii="Arial" w:cs="Arial" w:eastAsia="Arial" w:hAnsi="Arial"/>
          <w:color w:val="000000"/>
          <w:rtl w:val="0"/>
        </w:rPr>
        <w:t xml:space="preserve">Suppliers can deselect themselves through the process after the Service Filters and/or EOI and/or conference call. </w:t>
      </w:r>
      <w:r w:rsidDel="00000000" w:rsidR="00000000" w:rsidRPr="00000000">
        <w:rPr>
          <w:rtl w:val="0"/>
        </w:rPr>
      </w:r>
    </w:p>
    <w:p w:rsidR="00000000" w:rsidDel="00000000" w:rsidP="00000000" w:rsidRDefault="00000000" w:rsidRPr="00000000" w14:paraId="0000001B">
      <w:pPr>
        <w:widowControl w:val="1"/>
        <w:numPr>
          <w:ilvl w:val="1"/>
          <w:numId w:val="2"/>
        </w:numPr>
        <w:pBdr>
          <w:top w:space="0" w:sz="0" w:val="nil"/>
          <w:left w:space="0" w:sz="0" w:val="nil"/>
          <w:bottom w:space="0" w:sz="0" w:val="nil"/>
          <w:right w:space="0" w:sz="0" w:val="nil"/>
          <w:between w:space="0" w:sz="0" w:val="nil"/>
        </w:pBdr>
        <w:spacing w:after="280" w:before="120" w:line="259" w:lineRule="auto"/>
        <w:ind w:left="1080" w:hanging="360"/>
        <w:jc w:val="both"/>
        <w:rPr/>
      </w:pPr>
      <w:r w:rsidDel="00000000" w:rsidR="00000000" w:rsidRPr="00000000">
        <w:rPr>
          <w:rFonts w:ascii="Arial" w:cs="Arial" w:eastAsia="Arial" w:hAnsi="Arial"/>
          <w:color w:val="000000"/>
          <w:rtl w:val="0"/>
        </w:rPr>
        <w:t xml:space="preserve">If the Supplier does not respond to the EOI in accordance with any stated timescales they will not be invited to participate in the Further Competition Procedure. </w:t>
      </w:r>
      <w:r w:rsidDel="00000000" w:rsidR="00000000" w:rsidRPr="00000000">
        <w:rPr>
          <w:rtl w:val="0"/>
        </w:rPr>
      </w:r>
    </w:p>
    <w:p w:rsidR="00000000" w:rsidDel="00000000" w:rsidP="00000000" w:rsidRDefault="00000000" w:rsidRPr="00000000" w14:paraId="0000001C">
      <w:pPr>
        <w:widowControl w:val="1"/>
        <w:numPr>
          <w:ilvl w:val="1"/>
          <w:numId w:val="2"/>
        </w:numPr>
        <w:pBdr>
          <w:top w:space="0" w:sz="0" w:val="nil"/>
          <w:left w:space="0" w:sz="0" w:val="nil"/>
          <w:bottom w:space="0" w:sz="0" w:val="nil"/>
          <w:right w:space="0" w:sz="0" w:val="nil"/>
          <w:between w:space="0" w:sz="0" w:val="nil"/>
        </w:pBdr>
        <w:spacing w:after="280" w:before="120" w:line="259" w:lineRule="auto"/>
        <w:ind w:left="1080" w:hanging="360"/>
        <w:jc w:val="both"/>
        <w:rPr/>
      </w:pPr>
      <w:r w:rsidDel="00000000" w:rsidR="00000000" w:rsidRPr="00000000">
        <w:rPr>
          <w:rFonts w:ascii="Arial" w:cs="Arial" w:eastAsia="Arial" w:hAnsi="Arial"/>
          <w:color w:val="000000"/>
          <w:rtl w:val="0"/>
        </w:rPr>
        <w:t xml:space="preserve">If the Supplier is invited to the conference call and they do not attend they may not be invited to participate in the Further Competition Procedure. </w:t>
      </w:r>
      <w:r w:rsidDel="00000000" w:rsidR="00000000" w:rsidRPr="00000000">
        <w:rPr>
          <w:rtl w:val="0"/>
        </w:rPr>
      </w:r>
    </w:p>
    <w:p w:rsidR="00000000" w:rsidDel="00000000" w:rsidP="00000000" w:rsidRDefault="00000000" w:rsidRPr="00000000" w14:paraId="0000001D">
      <w:pPr>
        <w:widowControl w:val="1"/>
        <w:numPr>
          <w:ilvl w:val="1"/>
          <w:numId w:val="2"/>
        </w:numPr>
        <w:pBdr>
          <w:top w:space="0" w:sz="0" w:val="nil"/>
          <w:left w:space="0" w:sz="0" w:val="nil"/>
          <w:bottom w:space="0" w:sz="0" w:val="nil"/>
          <w:right w:space="0" w:sz="0" w:val="nil"/>
          <w:between w:space="0" w:sz="0" w:val="nil"/>
        </w:pBdr>
        <w:spacing w:after="280" w:before="120" w:line="259" w:lineRule="auto"/>
        <w:ind w:left="1080" w:hanging="360"/>
        <w:jc w:val="both"/>
        <w:rPr/>
      </w:pPr>
      <w:r w:rsidDel="00000000" w:rsidR="00000000" w:rsidRPr="00000000">
        <w:rPr>
          <w:rFonts w:ascii="Arial" w:cs="Arial" w:eastAsia="Arial" w:hAnsi="Arial"/>
          <w:color w:val="000000"/>
          <w:rtl w:val="0"/>
        </w:rPr>
        <w:t xml:space="preserve">CCS reserves the right to add or change the Services Filters and the EOI template throughout the lifetime of the Framework Agreement. </w:t>
      </w:r>
      <w:r w:rsidDel="00000000" w:rsidR="00000000" w:rsidRPr="00000000">
        <w:rPr>
          <w:rtl w:val="0"/>
        </w:rPr>
      </w:r>
    </w:p>
    <w:p w:rsidR="00000000" w:rsidDel="00000000" w:rsidP="00000000" w:rsidRDefault="00000000" w:rsidRPr="00000000" w14:paraId="0000001E">
      <w:pPr>
        <w:widowControl w:val="1"/>
        <w:numPr>
          <w:ilvl w:val="1"/>
          <w:numId w:val="2"/>
        </w:numPr>
        <w:pBdr>
          <w:top w:space="0" w:sz="0" w:val="nil"/>
          <w:left w:space="0" w:sz="0" w:val="nil"/>
          <w:bottom w:space="0" w:sz="0" w:val="nil"/>
          <w:right w:space="0" w:sz="0" w:val="nil"/>
          <w:between w:space="0" w:sz="0" w:val="nil"/>
        </w:pBdr>
        <w:spacing w:after="280" w:before="120" w:line="259" w:lineRule="auto"/>
        <w:ind w:left="1080" w:hanging="360"/>
        <w:jc w:val="both"/>
        <w:rPr/>
      </w:pPr>
      <w:r w:rsidDel="00000000" w:rsidR="00000000" w:rsidRPr="00000000">
        <w:rPr>
          <w:rFonts w:ascii="Arial" w:cs="Arial" w:eastAsia="Arial" w:hAnsi="Arial"/>
          <w:color w:val="000000"/>
          <w:rtl w:val="0"/>
        </w:rPr>
        <w:t xml:space="preserve">The Supplier may update their Service Filters during the lifetime of the Framework Agreement subject to you providing a customer reference. </w:t>
      </w:r>
      <w:r w:rsidDel="00000000" w:rsidR="00000000" w:rsidRPr="00000000">
        <w:rPr>
          <w:rtl w:val="0"/>
        </w:rPr>
      </w:r>
    </w:p>
    <w:p w:rsidR="00000000" w:rsidDel="00000000" w:rsidP="00000000" w:rsidRDefault="00000000" w:rsidRPr="00000000" w14:paraId="0000001F">
      <w:pPr>
        <w:keepNext w:val="1"/>
        <w:widowControl w:val="1"/>
        <w:numPr>
          <w:ilvl w:val="1"/>
          <w:numId w:val="2"/>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awarding a Call-Off Contract under this Contract through a Further Competition Procedure shall:</w:t>
      </w:r>
    </w:p>
    <w:p w:rsidR="00000000" w:rsidDel="00000000" w:rsidP="00000000" w:rsidRDefault="00000000" w:rsidRPr="00000000" w14:paraId="00000020">
      <w:pPr>
        <w:widowControl w:val="1"/>
        <w:numPr>
          <w:ilvl w:val="2"/>
          <w:numId w:val="2"/>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bookmarkStart w:colFirst="0" w:colLast="0" w:name="_heading=h.3znysh7" w:id="4"/>
      <w:bookmarkEnd w:id="4"/>
      <w:r w:rsidDel="00000000" w:rsidR="00000000" w:rsidRPr="00000000">
        <w:rPr>
          <w:rFonts w:ascii="Arial" w:cs="Arial" w:eastAsia="Arial" w:hAnsi="Arial"/>
          <w:color w:val="000000"/>
          <w:sz w:val="24"/>
          <w:szCs w:val="24"/>
          <w:rtl w:val="0"/>
        </w:rPr>
        <w:t xml:space="preserve">develop a Statement of Requirements setting out its requirements for the Deliverables and identify the Suppliers capable of supplying the them;</w:t>
      </w:r>
    </w:p>
    <w:p w:rsidR="00000000" w:rsidDel="00000000" w:rsidP="00000000" w:rsidRDefault="00000000" w:rsidRPr="00000000" w14:paraId="00000021">
      <w:pPr>
        <w:widowControl w:val="1"/>
        <w:numPr>
          <w:ilvl w:val="2"/>
          <w:numId w:val="2"/>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bookmarkStart w:colFirst="0" w:colLast="0" w:name="_heading=h.2et92p0" w:id="5"/>
      <w:bookmarkEnd w:id="5"/>
      <w:r w:rsidDel="00000000" w:rsidR="00000000" w:rsidRPr="00000000">
        <w:rPr>
          <w:rFonts w:ascii="Arial" w:cs="Arial" w:eastAsia="Arial" w:hAnsi="Arial"/>
          <w:color w:val="000000"/>
          <w:sz w:val="24"/>
          <w:szCs w:val="24"/>
          <w:rtl w:val="0"/>
        </w:rPr>
        <w:t xml:space="preserve">amend or refine the Deliverables to reflect its requirements by using the Order Form only to the extent permitted by and in accordance with the requirements of the Regulations;</w:t>
      </w:r>
    </w:p>
    <w:p w:rsidR="00000000" w:rsidDel="00000000" w:rsidP="00000000" w:rsidRDefault="00000000" w:rsidRPr="00000000" w14:paraId="00000022">
      <w:pPr>
        <w:keepNext w:val="1"/>
        <w:widowControl w:val="1"/>
        <w:numPr>
          <w:ilvl w:val="2"/>
          <w:numId w:val="2"/>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bookmarkStart w:colFirst="0" w:colLast="0" w:name="_heading=h.tyjcwt" w:id="6"/>
      <w:bookmarkEnd w:id="6"/>
      <w:r w:rsidDel="00000000" w:rsidR="00000000" w:rsidRPr="00000000">
        <w:rPr>
          <w:rFonts w:ascii="Arial" w:cs="Arial" w:eastAsia="Arial" w:hAnsi="Arial"/>
          <w:color w:val="000000"/>
          <w:sz w:val="24"/>
          <w:szCs w:val="24"/>
          <w:rtl w:val="0"/>
        </w:rPr>
        <w:t xml:space="preserve">invite tenders by conducting a Further Competition Procedure for its Deliverables in accordance with the Regulations and in particular:</w:t>
      </w:r>
    </w:p>
    <w:p w:rsidR="00000000" w:rsidDel="00000000" w:rsidP="00000000" w:rsidRDefault="00000000" w:rsidRPr="00000000" w14:paraId="00000023">
      <w:pPr>
        <w:widowControl w:val="1"/>
        <w:numPr>
          <w:ilvl w:val="3"/>
          <w:numId w:val="2"/>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Electronic Reverse Auction (as defined in Paragraph 7 below) is to be held, the Buyer shall notify the Suppliers identified in accordance with Paragraph 3.1.1 and shall conduct the Further Competition Procedure in accordance with the procedures set out in Paragraph 3; or</w:t>
      </w:r>
    </w:p>
    <w:p w:rsidR="00000000" w:rsidDel="00000000" w:rsidP="00000000" w:rsidRDefault="00000000" w:rsidRPr="00000000" w14:paraId="00000024">
      <w:pPr>
        <w:keepNext w:val="1"/>
        <w:widowControl w:val="1"/>
        <w:numPr>
          <w:ilvl w:val="3"/>
          <w:numId w:val="2"/>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Electronic Reverse Auction is not used, the Buyer shall:</w:t>
      </w:r>
    </w:p>
    <w:p w:rsidR="00000000" w:rsidDel="00000000" w:rsidP="00000000" w:rsidRDefault="00000000" w:rsidRPr="00000000" w14:paraId="00000025">
      <w:pPr>
        <w:widowControl w:val="1"/>
        <w:numPr>
          <w:ilvl w:val="4"/>
          <w:numId w:val="2"/>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invite the Suppliers identified in accordance with Paragraph 3.1.1 to submit a tender in writing for each proposed Call-Off Contract to be awarded by giving written notice by email to the relevant Supplier Representative of each Supplier;</w:t>
      </w:r>
    </w:p>
    <w:p w:rsidR="00000000" w:rsidDel="00000000" w:rsidP="00000000" w:rsidRDefault="00000000" w:rsidRPr="00000000" w14:paraId="00000026">
      <w:pPr>
        <w:widowControl w:val="1"/>
        <w:numPr>
          <w:ilvl w:val="4"/>
          <w:numId w:val="2"/>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 a time limit for the receipt by it of the tenders which takes into account factors such as the complexity of the subject matter of the proposed Call-Off Contract and the time needed to submit tenders; and</w:t>
      </w:r>
    </w:p>
    <w:p w:rsidR="00000000" w:rsidDel="00000000" w:rsidP="00000000" w:rsidRDefault="00000000" w:rsidRPr="00000000" w14:paraId="00000027">
      <w:pPr>
        <w:widowControl w:val="1"/>
        <w:numPr>
          <w:ilvl w:val="4"/>
          <w:numId w:val="2"/>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keep each tender confidential until the time limit set out for the return of tenders has expired.</w:t>
      </w:r>
    </w:p>
    <w:p w:rsidR="00000000" w:rsidDel="00000000" w:rsidP="00000000" w:rsidRDefault="00000000" w:rsidRPr="00000000" w14:paraId="00000028">
      <w:pPr>
        <w:widowControl w:val="1"/>
        <w:numPr>
          <w:ilvl w:val="2"/>
          <w:numId w:val="2"/>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apply the further competition award criteria to the Suppliers' compliant tenders submitted through the Further Competition Procedure as the basis of its decision to award a Call-Off Contract for its Deliverables;</w:t>
      </w:r>
    </w:p>
    <w:p w:rsidR="00000000" w:rsidDel="00000000" w:rsidP="00000000" w:rsidRDefault="00000000" w:rsidRPr="00000000" w14:paraId="00000029">
      <w:pPr>
        <w:keepNext w:val="1"/>
        <w:widowControl w:val="1"/>
        <w:numPr>
          <w:ilvl w:val="2"/>
          <w:numId w:val="2"/>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the basis set out above, award its Call-Off Contract to the successful Supplier in accordance with Paragraph 6. The Call-Off Contract shall:</w:t>
      </w:r>
    </w:p>
    <w:p w:rsidR="00000000" w:rsidDel="00000000" w:rsidP="00000000" w:rsidRDefault="00000000" w:rsidRPr="00000000" w14:paraId="0000002A">
      <w:pPr>
        <w:widowControl w:val="1"/>
        <w:numPr>
          <w:ilvl w:val="3"/>
          <w:numId w:val="2"/>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Deliverables;</w:t>
      </w:r>
    </w:p>
    <w:p w:rsidR="00000000" w:rsidDel="00000000" w:rsidP="00000000" w:rsidRDefault="00000000" w:rsidRPr="00000000" w14:paraId="0000002B">
      <w:pPr>
        <w:widowControl w:val="1"/>
        <w:numPr>
          <w:ilvl w:val="3"/>
          <w:numId w:val="2"/>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tender submitted by the successful Supplier;</w:t>
      </w:r>
    </w:p>
    <w:p w:rsidR="00000000" w:rsidDel="00000000" w:rsidP="00000000" w:rsidRDefault="00000000" w:rsidRPr="00000000" w14:paraId="0000002C">
      <w:pPr>
        <w:widowControl w:val="1"/>
        <w:numPr>
          <w:ilvl w:val="3"/>
          <w:numId w:val="2"/>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Charges payable for the Deliverables in accordance with the tender submitted by the successful Supplier; and</w:t>
      </w:r>
    </w:p>
    <w:p w:rsidR="00000000" w:rsidDel="00000000" w:rsidP="00000000" w:rsidRDefault="00000000" w:rsidRPr="00000000" w14:paraId="0000002D">
      <w:pPr>
        <w:widowControl w:val="1"/>
        <w:numPr>
          <w:ilvl w:val="3"/>
          <w:numId w:val="2"/>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incorporate the terms [of the Order Form and Contract] (as may be amended or refined by the Buyer in accordance with Paragraph 3.1.2. above) applicable to the Deliverables,</w:t>
      </w:r>
    </w:p>
    <w:p w:rsidR="00000000" w:rsidDel="00000000" w:rsidP="00000000" w:rsidRDefault="00000000" w:rsidRPr="00000000" w14:paraId="0000002E">
      <w:pPr>
        <w:widowControl w:val="1"/>
        <w:numPr>
          <w:ilvl w:val="2"/>
          <w:numId w:val="2"/>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unsuccessful Suppliers with written feedback in relation to the reasons why their tenders were unsuccessful.</w:t>
      </w:r>
    </w:p>
    <w:p w:rsidR="00000000" w:rsidDel="00000000" w:rsidP="00000000" w:rsidRDefault="00000000" w:rsidRPr="00000000" w14:paraId="0000002F">
      <w:pPr>
        <w:keepNext w:val="1"/>
        <w:widowControl w:val="1"/>
        <w:pBdr>
          <w:top w:space="0" w:sz="0" w:val="nil"/>
          <w:left w:space="0" w:sz="0" w:val="nil"/>
          <w:bottom w:space="0" w:sz="0" w:val="nil"/>
          <w:right w:space="0" w:sz="0" w:val="nil"/>
          <w:between w:space="0" w:sz="0" w:val="nil"/>
        </w:pBdr>
        <w:tabs>
          <w:tab w:val="left" w:pos="3054"/>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Supplier has to do</w:t>
      </w:r>
    </w:p>
    <w:p w:rsidR="00000000" w:rsidDel="00000000" w:rsidP="00000000" w:rsidRDefault="00000000" w:rsidRPr="00000000" w14:paraId="00000030">
      <w:pPr>
        <w:keepNext w:val="1"/>
        <w:widowControl w:val="1"/>
        <w:numPr>
          <w:ilvl w:val="1"/>
          <w:numId w:val="2"/>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shall in writing, by the time and date specified by the Buyer following an invitation to tender pursuant to Paragraph 3.1.3 above, provide CCS and the Buyer with either:</w:t>
      </w:r>
      <w:r w:rsidDel="00000000" w:rsidR="00000000" w:rsidRPr="00000000">
        <w:rPr>
          <w:rtl w:val="0"/>
        </w:rPr>
      </w:r>
    </w:p>
    <w:p w:rsidR="00000000" w:rsidDel="00000000" w:rsidP="00000000" w:rsidRDefault="00000000" w:rsidRPr="00000000" w14:paraId="00000031">
      <w:pPr>
        <w:widowControl w:val="1"/>
        <w:pBdr>
          <w:top w:space="0" w:sz="0" w:val="nil"/>
          <w:left w:space="0" w:sz="0" w:val="nil"/>
          <w:bottom w:space="0" w:sz="0" w:val="nil"/>
          <w:right w:space="0" w:sz="0" w:val="nil"/>
          <w:between w:space="0" w:sz="0" w:val="nil"/>
        </w:pBdr>
        <w:tabs>
          <w:tab w:val="left" w:pos="3641"/>
        </w:tabs>
        <w:spacing w:after="120" w:before="12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2">
      <w:pPr>
        <w:widowControl w:val="1"/>
        <w:numPr>
          <w:ilvl w:val="2"/>
          <w:numId w:val="2"/>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to the effect that it does not wish to tender in relation to the Deliverables; or</w:t>
      </w:r>
    </w:p>
    <w:p w:rsidR="00000000" w:rsidDel="00000000" w:rsidP="00000000" w:rsidRDefault="00000000" w:rsidRPr="00000000" w14:paraId="00000033">
      <w:pPr>
        <w:keepNext w:val="1"/>
        <w:widowControl w:val="1"/>
        <w:numPr>
          <w:ilvl w:val="2"/>
          <w:numId w:val="2"/>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full details of its tender made in respect of the relevant Statement of Requirements. In the event that the Supplier submits such a tender, it should include, as a minimum:</w:t>
      </w:r>
    </w:p>
    <w:p w:rsidR="00000000" w:rsidDel="00000000" w:rsidP="00000000" w:rsidRDefault="00000000" w:rsidRPr="00000000" w14:paraId="00000034">
      <w:pPr>
        <w:widowControl w:val="1"/>
        <w:numPr>
          <w:ilvl w:val="3"/>
          <w:numId w:val="2"/>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email response subject line to comprise unique reference number and Supplier name, so as to clearly identify the Supplier;</w:t>
      </w:r>
    </w:p>
    <w:p w:rsidR="00000000" w:rsidDel="00000000" w:rsidP="00000000" w:rsidRDefault="00000000" w:rsidRPr="00000000" w14:paraId="00000035">
      <w:pPr>
        <w:widowControl w:val="1"/>
        <w:numPr>
          <w:ilvl w:val="3"/>
          <w:numId w:val="2"/>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brief summary, in the email (followed by a confirmation letter), stating that the Supplier is bidding for the Statement of Requirements;</w:t>
      </w:r>
    </w:p>
    <w:p w:rsidR="00000000" w:rsidDel="00000000" w:rsidP="00000000" w:rsidRDefault="00000000" w:rsidRPr="00000000" w14:paraId="00000036">
      <w:pPr>
        <w:widowControl w:val="1"/>
        <w:numPr>
          <w:ilvl w:val="3"/>
          <w:numId w:val="2"/>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proposal covering the Deliverables;</w:t>
      </w:r>
    </w:p>
    <w:p w:rsidR="00000000" w:rsidDel="00000000" w:rsidP="00000000" w:rsidRDefault="00000000" w:rsidRPr="00000000" w14:paraId="00000037">
      <w:pPr>
        <w:widowControl w:val="1"/>
        <w:numPr>
          <w:ilvl w:val="3"/>
          <w:numId w:val="2"/>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CVs of key staff – as a minimum any lead consultant, with others, as considered appropriate along with required staff levels (if necessary); and</w:t>
      </w:r>
    </w:p>
    <w:p w:rsidR="00000000" w:rsidDel="00000000" w:rsidP="00000000" w:rsidRDefault="00000000" w:rsidRPr="00000000" w14:paraId="00000038">
      <w:pPr>
        <w:widowControl w:val="1"/>
        <w:numPr>
          <w:ilvl w:val="3"/>
          <w:numId w:val="2"/>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of discounts applicable to the Deliverables, as referenced in Framework Schedule 3 (Framework Prices) (if applicable).</w:t>
      </w:r>
    </w:p>
    <w:p w:rsidR="00000000" w:rsidDel="00000000" w:rsidP="00000000" w:rsidRDefault="00000000" w:rsidRPr="00000000" w14:paraId="00000039">
      <w:pPr>
        <w:widowControl w:val="1"/>
        <w:numPr>
          <w:ilvl w:val="2"/>
          <w:numId w:val="2"/>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any prices submitted in relation to a Further Competition Procedure held pursuant to this Paragraph 3 shall be based on the charging structure and take into account any discount to which the Buyer may be entitled as set out in Framework Schedule 3 (Framework Prices).</w:t>
      </w:r>
    </w:p>
    <w:p w:rsidR="00000000" w:rsidDel="00000000" w:rsidP="00000000" w:rsidRDefault="00000000" w:rsidRPr="00000000" w14:paraId="0000003A">
      <w:pPr>
        <w:keepNext w:val="1"/>
        <w:widowControl w:val="1"/>
        <w:numPr>
          <w:ilvl w:val="2"/>
          <w:numId w:val="2"/>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agrees that:</w:t>
      </w:r>
    </w:p>
    <w:p w:rsidR="00000000" w:rsidDel="00000000" w:rsidP="00000000" w:rsidRDefault="00000000" w:rsidRPr="00000000" w14:paraId="0000003B">
      <w:pPr>
        <w:widowControl w:val="1"/>
        <w:numPr>
          <w:ilvl w:val="3"/>
          <w:numId w:val="2"/>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tenders submitted by the Supplier in relation to a Further Competition Procedure held pursuant to this Paragraph 3 shall remain open for acceptance by the Buyer for ninety (90) Working Days (or such other period specified in the invitation to tender issued by the Buyer in accordance with the Call-Off Procedure); and</w:t>
      </w:r>
    </w:p>
    <w:p w:rsidR="00000000" w:rsidDel="00000000" w:rsidP="00000000" w:rsidRDefault="00000000" w:rsidRPr="00000000" w14:paraId="0000003C">
      <w:pPr>
        <w:widowControl w:val="1"/>
        <w:numPr>
          <w:ilvl w:val="3"/>
          <w:numId w:val="2"/>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rsidR="00000000" w:rsidDel="00000000" w:rsidP="00000000" w:rsidRDefault="00000000" w:rsidRPr="00000000" w14:paraId="0000003D">
      <w:pPr>
        <w:widowControl w:val="1"/>
        <w:numPr>
          <w:ilvl w:val="4"/>
          <w:numId w:val="2"/>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rsidR="00000000" w:rsidDel="00000000" w:rsidP="00000000" w:rsidRDefault="00000000" w:rsidRPr="00000000" w14:paraId="0000003E">
      <w:pPr>
        <w:widowControl w:val="1"/>
        <w:numPr>
          <w:ilvl w:val="4"/>
          <w:numId w:val="2"/>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enter into any arrangement or agreement with any other person that he or the other person(s) shall refrain from submitting a tender or as to the amount of any tenders to be submitted.</w:t>
      </w:r>
    </w:p>
    <w:p w:rsidR="00000000" w:rsidDel="00000000" w:rsidP="00000000" w:rsidRDefault="00000000" w:rsidRPr="00000000" w14:paraId="0000003F">
      <w:pPr>
        <w:keepNext w:val="1"/>
        <w:widowControl w:val="1"/>
        <w:numPr>
          <w:ilvl w:val="0"/>
          <w:numId w:val="2"/>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No requirement to award</w:t>
      </w:r>
      <w:r w:rsidDel="00000000" w:rsidR="00000000" w:rsidRPr="00000000">
        <w:rPr>
          <w:rtl w:val="0"/>
        </w:rPr>
      </w:r>
    </w:p>
    <w:p w:rsidR="00000000" w:rsidDel="00000000" w:rsidP="00000000" w:rsidRDefault="00000000" w:rsidRPr="00000000" w14:paraId="00000040">
      <w:pPr>
        <w:widowControl w:val="1"/>
        <w:numPr>
          <w:ilvl w:val="1"/>
          <w:numId w:val="2"/>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the fact that the Buyer has followed a procedure as set out above in Paragraph 2 or 3 (as applicable), the Supplier acknowledges and agrees that the Buyer shall be entitled at all times to decline to make an award for its Deliverables and that nothing in this Contract shall oblige the Buyer to award any Call-Off Contract.</w:t>
      </w:r>
    </w:p>
    <w:p w:rsidR="00000000" w:rsidDel="00000000" w:rsidP="00000000" w:rsidRDefault="00000000" w:rsidRPr="00000000" w14:paraId="00000041">
      <w:pPr>
        <w:keepNext w:val="1"/>
        <w:widowControl w:val="1"/>
        <w:numPr>
          <w:ilvl w:val="0"/>
          <w:numId w:val="2"/>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Who is responsible for the award</w:t>
      </w:r>
    </w:p>
    <w:p w:rsidR="00000000" w:rsidDel="00000000" w:rsidP="00000000" w:rsidRDefault="00000000" w:rsidRPr="00000000" w14:paraId="00000042">
      <w:pPr>
        <w:widowControl w:val="1"/>
        <w:numPr>
          <w:ilvl w:val="1"/>
          <w:numId w:val="2"/>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rsidR="00000000" w:rsidDel="00000000" w:rsidP="00000000" w:rsidRDefault="00000000" w:rsidRPr="00000000" w14:paraId="00000043">
      <w:pPr>
        <w:widowControl w:val="1"/>
        <w:numPr>
          <w:ilvl w:val="2"/>
          <w:numId w:val="2"/>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conduct of Buyer in relation to this Contract; or</w:t>
      </w:r>
    </w:p>
    <w:p w:rsidR="00000000" w:rsidDel="00000000" w:rsidP="00000000" w:rsidRDefault="00000000" w:rsidRPr="00000000" w14:paraId="00000044">
      <w:pPr>
        <w:widowControl w:val="1"/>
        <w:numPr>
          <w:ilvl w:val="2"/>
          <w:numId w:val="2"/>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or non-performance of any Call-Off Contracts between the Supplier and Buyer entered into pursuant to this Contract.</w:t>
      </w:r>
    </w:p>
    <w:p w:rsidR="00000000" w:rsidDel="00000000" w:rsidP="00000000" w:rsidRDefault="00000000" w:rsidRPr="00000000" w14:paraId="00000045">
      <w:pPr>
        <w:keepNext w:val="1"/>
        <w:widowControl w:val="1"/>
        <w:numPr>
          <w:ilvl w:val="0"/>
          <w:numId w:val="2"/>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Awarding and creating a Call-Off Contract</w:t>
      </w:r>
      <w:r w:rsidDel="00000000" w:rsidR="00000000" w:rsidRPr="00000000">
        <w:rPr>
          <w:rtl w:val="0"/>
        </w:rPr>
      </w:r>
    </w:p>
    <w:p w:rsidR="00000000" w:rsidDel="00000000" w:rsidP="00000000" w:rsidRDefault="00000000" w:rsidRPr="00000000" w14:paraId="00000046">
      <w:pPr>
        <w:widowControl w:val="1"/>
        <w:numPr>
          <w:ilvl w:val="1"/>
          <w:numId w:val="2"/>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3dy6vkm" w:id="7"/>
      <w:bookmarkEnd w:id="7"/>
      <w:r w:rsidDel="00000000" w:rsidR="00000000" w:rsidRPr="00000000">
        <w:rPr>
          <w:rFonts w:ascii="Arial" w:cs="Arial" w:eastAsia="Arial" w:hAnsi="Arial"/>
          <w:color w:val="000000"/>
          <w:sz w:val="24"/>
          <w:szCs w:val="24"/>
          <w:rtl w:val="0"/>
        </w:rPr>
        <w:t xml:space="preserve">Subject to Paragraphs 1 to 5 above and 7, a Buyer may award a Call-Off Contract with the Supplier by sending (including electronically) a signed order form substantially in the form (as may be amended or refined by the Buyer in accordance with Paragraph 3.1.2 above) of the Order Form Template set out in Framework Schedule 6 (Order Form Template and Call-Off Schedules).</w:t>
      </w:r>
    </w:p>
    <w:p w:rsidR="00000000" w:rsidDel="00000000" w:rsidP="00000000" w:rsidRDefault="00000000" w:rsidRPr="00000000" w14:paraId="00000047">
      <w:pPr>
        <w:widowControl w:val="1"/>
        <w:numPr>
          <w:ilvl w:val="1"/>
          <w:numId w:val="2"/>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agree that any document or communication (including any document or communication in the apparent form of a Call-Off Contract) which is not as described in this Paragraph 6 shall not constitute a Call-Off Contract under this Contract.</w:t>
      </w:r>
    </w:p>
    <w:p w:rsidR="00000000" w:rsidDel="00000000" w:rsidP="00000000" w:rsidRDefault="00000000" w:rsidRPr="00000000" w14:paraId="00000048">
      <w:pPr>
        <w:widowControl w:val="1"/>
        <w:numPr>
          <w:ilvl w:val="1"/>
          <w:numId w:val="2"/>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1t3h5sf" w:id="8"/>
      <w:bookmarkEnd w:id="8"/>
      <w:r w:rsidDel="00000000" w:rsidR="00000000" w:rsidRPr="00000000">
        <w:rPr>
          <w:rFonts w:ascii="Arial" w:cs="Arial" w:eastAsia="Arial" w:hAnsi="Arial"/>
          <w:color w:val="000000"/>
          <w:sz w:val="24"/>
          <w:szCs w:val="24"/>
          <w:rtl w:val="0"/>
        </w:rPr>
        <w:t xml:space="preserve">On receipt of an order form as described in Paragraph 6.1 from a Buyer the Supplier shall accept the Call-Off Contract by promptly signing and returning (including by electronic means) a copy of the order form to the Buyer concerned.</w:t>
      </w:r>
    </w:p>
    <w:p w:rsidR="00000000" w:rsidDel="00000000" w:rsidP="00000000" w:rsidRDefault="00000000" w:rsidRPr="00000000" w14:paraId="00000049">
      <w:pPr>
        <w:widowControl w:val="1"/>
        <w:numPr>
          <w:ilvl w:val="1"/>
          <w:numId w:val="2"/>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p>
    <w:p w:rsidR="00000000" w:rsidDel="00000000" w:rsidP="00000000" w:rsidRDefault="00000000" w:rsidRPr="00000000" w14:paraId="0000004A">
      <w:pPr>
        <w:keepNext w:val="1"/>
        <w:widowControl w:val="1"/>
        <w:numPr>
          <w:ilvl w:val="0"/>
          <w:numId w:val="2"/>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e-auctions work</w:t>
      </w:r>
      <w:r w:rsidDel="00000000" w:rsidR="00000000" w:rsidRPr="00000000">
        <w:rPr>
          <w:rtl w:val="0"/>
        </w:rPr>
      </w:r>
    </w:p>
    <w:p w:rsidR="00000000" w:rsidDel="00000000" w:rsidP="00000000" w:rsidRDefault="00000000" w:rsidRPr="00000000" w14:paraId="0000004B">
      <w:pPr>
        <w:widowControl w:val="1"/>
        <w:numPr>
          <w:ilvl w:val="1"/>
          <w:numId w:val="2"/>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be entitled to include a reverse auction in the Further Competition Procedure in accordance with the rules laid down by the Buyer and the Regulations.</w:t>
      </w:r>
    </w:p>
    <w:p w:rsidR="00000000" w:rsidDel="00000000" w:rsidP="00000000" w:rsidRDefault="00000000" w:rsidRPr="00000000" w14:paraId="0000004C">
      <w:pPr>
        <w:widowControl w:val="1"/>
        <w:numPr>
          <w:ilvl w:val="1"/>
          <w:numId w:val="2"/>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4d34og8" w:id="9"/>
      <w:bookmarkEnd w:id="9"/>
      <w:r w:rsidDel="00000000" w:rsidR="00000000" w:rsidRPr="00000000">
        <w:rPr>
          <w:rFonts w:ascii="Arial" w:cs="Arial" w:eastAsia="Arial" w:hAnsi="Arial"/>
          <w:color w:val="000000"/>
          <w:sz w:val="24"/>
          <w:szCs w:val="24"/>
          <w:rtl w:val="0"/>
        </w:rPr>
        <w:t xml:space="preserve">Where the Buyer wishes to undertake an electronic reverse auction, where Suppliers compete in real time by bidding as the auction unfolds (</w:t>
      </w:r>
      <w:r w:rsidDel="00000000" w:rsidR="00000000" w:rsidRPr="00000000">
        <w:rPr>
          <w:rFonts w:ascii="Arial" w:cs="Arial" w:eastAsia="Arial" w:hAnsi="Arial"/>
          <w:b w:val="1"/>
          <w:color w:val="000000"/>
          <w:sz w:val="24"/>
          <w:szCs w:val="24"/>
          <w:rtl w:val="0"/>
        </w:rPr>
        <w:t xml:space="preserve">"Electronic Reverse Auction"</w:t>
      </w:r>
      <w:r w:rsidDel="00000000" w:rsidR="00000000" w:rsidRPr="00000000">
        <w:rPr>
          <w:rFonts w:ascii="Arial" w:cs="Arial" w:eastAsia="Arial" w:hAnsi="Arial"/>
          <w:color w:val="000000"/>
          <w:sz w:val="24"/>
          <w:szCs w:val="24"/>
          <w:rtl w:val="0"/>
        </w:rPr>
        <w:t xml:space="preserve">) then before undertaking it, the Buyer will make an initial full evaluation of all tenders received in response to its Statement of Requirements. The Buyer will then invite to the Electronic Reverse Auction only those tenders that are admissible in accordance with the Regulations. The invitation shall be accompanied by the outcome of the full initial evaluation of the relevant tenders.</w:t>
      </w:r>
    </w:p>
    <w:p w:rsidR="00000000" w:rsidDel="00000000" w:rsidP="00000000" w:rsidRDefault="00000000" w:rsidRPr="00000000" w14:paraId="0000004D">
      <w:pPr>
        <w:keepNext w:val="1"/>
        <w:widowControl w:val="1"/>
        <w:numPr>
          <w:ilvl w:val="1"/>
          <w:numId w:val="2"/>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will inform the Suppliers of the specification for the Electronic Reverse Auction which shall include:</w:t>
      </w:r>
    </w:p>
    <w:p w:rsidR="00000000" w:rsidDel="00000000" w:rsidP="00000000" w:rsidRDefault="00000000" w:rsidRPr="00000000" w14:paraId="0000004E">
      <w:pPr>
        <w:widowControl w:val="1"/>
        <w:numPr>
          <w:ilvl w:val="3"/>
          <w:numId w:val="2"/>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to be provided at auction, which must be expressed in figures or percentages of the specified quantifiable features;</w:t>
      </w:r>
    </w:p>
    <w:p w:rsidR="00000000" w:rsidDel="00000000" w:rsidP="00000000" w:rsidRDefault="00000000" w:rsidRPr="00000000" w14:paraId="0000004F">
      <w:pPr>
        <w:widowControl w:val="1"/>
        <w:numPr>
          <w:ilvl w:val="3"/>
          <w:numId w:val="2"/>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mathematical formula to be used to determine automatic ranking of bids on the basis of new prices and/or new values submitted;  </w:t>
      </w:r>
    </w:p>
    <w:p w:rsidR="00000000" w:rsidDel="00000000" w:rsidP="00000000" w:rsidRDefault="00000000" w:rsidRPr="00000000" w14:paraId="00000050">
      <w:pPr>
        <w:widowControl w:val="1"/>
        <w:numPr>
          <w:ilvl w:val="3"/>
          <w:numId w:val="2"/>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limits on the values which may be submitted;</w:t>
      </w:r>
    </w:p>
    <w:p w:rsidR="00000000" w:rsidDel="00000000" w:rsidP="00000000" w:rsidRDefault="00000000" w:rsidRPr="00000000" w14:paraId="00000051">
      <w:pPr>
        <w:widowControl w:val="1"/>
        <w:numPr>
          <w:ilvl w:val="3"/>
          <w:numId w:val="2"/>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description of any information which will be made available to Suppliers in the course of the Electronic Reverse Auction, and when it will be made available to them;</w:t>
      </w:r>
    </w:p>
    <w:p w:rsidR="00000000" w:rsidDel="00000000" w:rsidP="00000000" w:rsidRDefault="00000000" w:rsidRPr="00000000" w14:paraId="00000052">
      <w:pPr>
        <w:widowControl w:val="1"/>
        <w:numPr>
          <w:ilvl w:val="3"/>
          <w:numId w:val="2"/>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bookmarkStart w:colFirst="0" w:colLast="0" w:name="_heading=h.2s8eyo1" w:id="10"/>
      <w:bookmarkEnd w:id="10"/>
      <w:r w:rsidDel="00000000" w:rsidR="00000000" w:rsidRPr="00000000">
        <w:rPr>
          <w:rFonts w:ascii="Arial" w:cs="Arial" w:eastAsia="Arial" w:hAnsi="Arial"/>
          <w:color w:val="000000"/>
          <w:sz w:val="24"/>
          <w:szCs w:val="24"/>
          <w:rtl w:val="0"/>
        </w:rPr>
        <w:t xml:space="preserve">the conditions under which Suppliers will be able to bid and, in particular, the minimum differences which will, where appropriate, be required when bidding;</w:t>
      </w:r>
    </w:p>
    <w:p w:rsidR="00000000" w:rsidDel="00000000" w:rsidP="00000000" w:rsidRDefault="00000000" w:rsidRPr="00000000" w14:paraId="00000053">
      <w:pPr>
        <w:widowControl w:val="1"/>
        <w:numPr>
          <w:ilvl w:val="3"/>
          <w:numId w:val="2"/>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information concerning the electronic equipment used and the arrangements and technical specification for connection;</w:t>
      </w:r>
    </w:p>
    <w:p w:rsidR="00000000" w:rsidDel="00000000" w:rsidP="00000000" w:rsidRDefault="00000000" w:rsidRPr="00000000" w14:paraId="00000054">
      <w:pPr>
        <w:widowControl w:val="1"/>
        <w:numPr>
          <w:ilvl w:val="3"/>
          <w:numId w:val="2"/>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7.4 the date and time of the start of the Electronic Reverse Auction; and</w:t>
      </w:r>
    </w:p>
    <w:p w:rsidR="00000000" w:rsidDel="00000000" w:rsidP="00000000" w:rsidRDefault="00000000" w:rsidRPr="00000000" w14:paraId="00000055">
      <w:pPr>
        <w:widowControl w:val="1"/>
        <w:numPr>
          <w:ilvl w:val="3"/>
          <w:numId w:val="2"/>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when and how the Electronic Reverse Auction will close.</w:t>
      </w:r>
    </w:p>
    <w:p w:rsidR="00000000" w:rsidDel="00000000" w:rsidP="00000000" w:rsidRDefault="00000000" w:rsidRPr="00000000" w14:paraId="00000056">
      <w:pPr>
        <w:widowControl w:val="1"/>
        <w:numPr>
          <w:ilvl w:val="1"/>
          <w:numId w:val="2"/>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17dp8vu" w:id="11"/>
      <w:bookmarkEnd w:id="11"/>
      <w:r w:rsidDel="00000000" w:rsidR="00000000" w:rsidRPr="00000000">
        <w:rPr>
          <w:rFonts w:ascii="Arial" w:cs="Arial" w:eastAsia="Arial" w:hAnsi="Arial"/>
          <w:color w:val="000000"/>
          <w:sz w:val="24"/>
          <w:szCs w:val="24"/>
          <w:rtl w:val="0"/>
        </w:rPr>
        <w:t xml:space="preserve">The Electronic Reverse Auction may not start sooner than two (2) Working Days after the date on which the specification for the Electronic Reverse Auction has been issued.</w:t>
      </w:r>
    </w:p>
    <w:p w:rsidR="00000000" w:rsidDel="00000000" w:rsidP="00000000" w:rsidRDefault="00000000" w:rsidRPr="00000000" w14:paraId="00000057">
      <w:pPr>
        <w:widowControl w:val="1"/>
        <w:numPr>
          <w:ilvl w:val="1"/>
          <w:numId w:val="2"/>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Throughout each phase of the Electronic Reverse Auction the Buyer will communicate to all Suppliers sufficient information to enable them to ascertain their relative ranking.</w:t>
      </w:r>
    </w:p>
    <w:p w:rsidR="00000000" w:rsidDel="00000000" w:rsidP="00000000" w:rsidRDefault="00000000" w:rsidRPr="00000000" w14:paraId="00000058">
      <w:pPr>
        <w:keepNext w:val="1"/>
        <w:widowControl w:val="1"/>
        <w:numPr>
          <w:ilvl w:val="1"/>
          <w:numId w:val="2"/>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acknowledges and agrees that:</w:t>
      </w:r>
    </w:p>
    <w:p w:rsidR="00000000" w:rsidDel="00000000" w:rsidP="00000000" w:rsidRDefault="00000000" w:rsidRPr="00000000" w14:paraId="00000059">
      <w:pPr>
        <w:widowControl w:val="1"/>
        <w:numPr>
          <w:ilvl w:val="3"/>
          <w:numId w:val="2"/>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 its officers, servants, agents, group companies, assignees and customers (including CCS) do not guarantee that its access to the Electronic Reverse Auction will be uninterrupted or error-free;</w:t>
      </w:r>
    </w:p>
    <w:p w:rsidR="00000000" w:rsidDel="00000000" w:rsidP="00000000" w:rsidRDefault="00000000" w:rsidRPr="00000000" w14:paraId="0000005A">
      <w:pPr>
        <w:widowControl w:val="1"/>
        <w:numPr>
          <w:ilvl w:val="3"/>
          <w:numId w:val="2"/>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access to the Electronic Reverse Auction may occasionally be restricted to allow for repairs or maintenance; and</w:t>
      </w:r>
    </w:p>
    <w:p w:rsidR="00000000" w:rsidDel="00000000" w:rsidP="00000000" w:rsidRDefault="00000000" w:rsidRPr="00000000" w14:paraId="0000005B">
      <w:pPr>
        <w:widowControl w:val="1"/>
        <w:numPr>
          <w:ilvl w:val="3"/>
          <w:numId w:val="2"/>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will comply with all such rules that may be imposed by the Buyer in relation to the operation of the Electronic Reverse Auction.</w:t>
      </w:r>
    </w:p>
    <w:p w:rsidR="00000000" w:rsidDel="00000000" w:rsidP="00000000" w:rsidRDefault="00000000" w:rsidRPr="00000000" w14:paraId="0000005C">
      <w:pPr>
        <w:keepNext w:val="1"/>
        <w:widowControl w:val="1"/>
        <w:numPr>
          <w:ilvl w:val="1"/>
          <w:numId w:val="2"/>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will close the Electronic Reverse Auction on the basis of:</w:t>
      </w:r>
    </w:p>
    <w:p w:rsidR="00000000" w:rsidDel="00000000" w:rsidP="00000000" w:rsidRDefault="00000000" w:rsidRPr="00000000" w14:paraId="0000005D">
      <w:pPr>
        <w:widowControl w:val="1"/>
        <w:numPr>
          <w:ilvl w:val="3"/>
          <w:numId w:val="2"/>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date and time fixed in advance;</w:t>
      </w:r>
    </w:p>
    <w:p w:rsidR="00000000" w:rsidDel="00000000" w:rsidP="00000000" w:rsidRDefault="00000000" w:rsidRPr="00000000" w14:paraId="0000005E">
      <w:pPr>
        <w:widowControl w:val="1"/>
        <w:numPr>
          <w:ilvl w:val="3"/>
          <w:numId w:val="2"/>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no new prices or values meeting the minimum differences required pursuant to Paragraph 7.3 have been received within the prescribed elapsed time period; or</w:t>
      </w:r>
    </w:p>
    <w:p w:rsidR="00000000" w:rsidDel="00000000" w:rsidP="00000000" w:rsidRDefault="00000000" w:rsidRPr="00000000" w14:paraId="0000005F">
      <w:pPr>
        <w:widowControl w:val="1"/>
        <w:numPr>
          <w:ilvl w:val="2"/>
          <w:numId w:val="2"/>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all the phases have been completed.</w:t>
      </w:r>
    </w:p>
    <w:p w:rsidR="00000000" w:rsidDel="00000000" w:rsidP="00000000" w:rsidRDefault="00000000" w:rsidRPr="00000000" w14:paraId="00000060">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1">
      <w:pPr>
        <w:widowControl w:val="1"/>
        <w:pBdr>
          <w:top w:space="0" w:sz="0" w:val="nil"/>
          <w:left w:space="0" w:sz="0" w:val="nil"/>
          <w:bottom w:space="0" w:sz="0" w:val="nil"/>
          <w:right w:space="0" w:sz="0" w:val="nil"/>
          <w:between w:space="0" w:sz="0" w:val="nil"/>
        </w:pBdr>
        <w:tabs>
          <w:tab w:val="left" w:pos="3054"/>
        </w:tabs>
        <w:spacing w:after="120" w:before="120" w:lineRule="auto"/>
        <w:ind w:left="936" w:hanging="576"/>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2">
      <w:pPr>
        <w:widowControl w:val="1"/>
        <w:pBdr>
          <w:top w:space="0" w:sz="0" w:val="nil"/>
          <w:left w:space="0" w:sz="0" w:val="nil"/>
          <w:bottom w:space="0" w:sz="0" w:val="nil"/>
          <w:right w:space="0" w:sz="0" w:val="nil"/>
          <w:between w:space="0" w:sz="0" w:val="nil"/>
        </w:pBdr>
        <w:tabs>
          <w:tab w:val="left" w:pos="3054"/>
        </w:tabs>
        <w:spacing w:after="120" w:before="120" w:lineRule="auto"/>
        <w:ind w:left="936" w:hanging="576"/>
        <w:rPr>
          <w:rFonts w:ascii="Arial" w:cs="Arial" w:eastAsia="Arial" w:hAnsi="Arial"/>
          <w:color w:val="000000"/>
          <w:sz w:val="36"/>
          <w:szCs w:val="36"/>
        </w:rPr>
      </w:pPr>
      <w:r w:rsidDel="00000000" w:rsidR="00000000" w:rsidRPr="00000000">
        <w:rPr>
          <w:rFonts w:ascii="Arial" w:cs="Arial" w:eastAsia="Arial" w:hAnsi="Arial"/>
          <w:b w:val="1"/>
          <w:color w:val="000000"/>
          <w:sz w:val="36"/>
          <w:szCs w:val="36"/>
          <w:rtl w:val="0"/>
        </w:rPr>
        <w:t xml:space="preserve">Part 2: Award Criteria</w:t>
      </w:r>
      <w:r w:rsidDel="00000000" w:rsidR="00000000" w:rsidRPr="00000000">
        <w:rPr>
          <w:rtl w:val="0"/>
        </w:rPr>
      </w:r>
    </w:p>
    <w:p w:rsidR="00000000" w:rsidDel="00000000" w:rsidP="00000000" w:rsidRDefault="00000000" w:rsidRPr="00000000" w14:paraId="00000063">
      <w:pPr>
        <w:widowControl w:val="1"/>
        <w:numPr>
          <w:ilvl w:val="0"/>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Part 2 lays out award criteria for direct award (Annex A) and for further competition (Annex B) in accordance with the Call-Off Procedure.</w:t>
      </w:r>
    </w:p>
    <w:p w:rsidR="00000000" w:rsidDel="00000000" w:rsidP="00000000" w:rsidRDefault="00000000" w:rsidRPr="00000000" w14:paraId="00000064">
      <w:pPr>
        <w:widowControl w:val="1"/>
        <w:numPr>
          <w:ilvl w:val="0"/>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Call-Off Contract may be awarded on the basis of most economically advantageous tender ("MEAT").</w:t>
      </w:r>
    </w:p>
    <w:p w:rsidR="00000000" w:rsidDel="00000000" w:rsidP="00000000" w:rsidRDefault="00000000" w:rsidRPr="00000000" w14:paraId="00000065">
      <w:pPr>
        <w:rPr>
          <w:rFonts w:ascii="Arial" w:cs="Arial" w:eastAsia="Arial" w:hAnsi="Arial"/>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6">
      <w:pPr>
        <w:keepNext w:val="1"/>
        <w:widowControl w:val="1"/>
        <w:pBdr>
          <w:top w:space="0" w:sz="0" w:val="nil"/>
          <w:left w:space="0" w:sz="0" w:val="nil"/>
          <w:bottom w:space="0" w:sz="0" w:val="nil"/>
          <w:right w:space="0" w:sz="0" w:val="nil"/>
          <w:between w:space="0" w:sz="0" w:val="nil"/>
        </w:pBdr>
        <w:spacing w:after="240" w:before="240" w:lineRule="auto"/>
        <w:ind w:firstLine="426"/>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Annex A: Direct award criteria</w:t>
      </w:r>
    </w:p>
    <w:p w:rsidR="00000000" w:rsidDel="00000000" w:rsidP="00000000" w:rsidRDefault="00000000" w:rsidRPr="00000000" w14:paraId="00000067">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all Lots the</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 following criteria and weightings shall apply to the evaluation for direct award of each Call-Off.</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Lots 1, 2 &amp; 4 (Direct Award not permitted for Lot 3)</w:t>
      </w:r>
      <w:r w:rsidDel="00000000" w:rsidR="00000000" w:rsidRPr="00000000">
        <w:rPr>
          <w:rtl w:val="0"/>
        </w:rPr>
        <w:t xml:space="preserve">     </w:t>
      </w:r>
      <w:r w:rsidDel="00000000" w:rsidR="00000000" w:rsidRPr="00000000">
        <w:rPr>
          <w:rtl w:val="0"/>
        </w:rPr>
      </w:r>
    </w:p>
    <w:tbl>
      <w:tblPr>
        <w:tblStyle w:val="Table1"/>
        <w:tblW w:w="9214.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44"/>
        <w:gridCol w:w="5670"/>
        <w:tblGridChange w:id="0">
          <w:tblGrid>
            <w:gridCol w:w="3544"/>
            <w:gridCol w:w="5670"/>
          </w:tblGrid>
        </w:tblGridChange>
      </w:tblGrid>
      <w:tr>
        <w:tc>
          <w:tcPr>
            <w:shd w:fill="e7e6e6" w:val="clear"/>
          </w:tcPr>
          <w:p w:rsidR="00000000" w:rsidDel="00000000" w:rsidP="00000000" w:rsidRDefault="00000000" w:rsidRPr="00000000" w14:paraId="00000069">
            <w:pPr>
              <w:keepNext w:val="1"/>
              <w:widowControl w:val="1"/>
              <w:pBdr>
                <w:top w:space="0" w:sz="0" w:val="nil"/>
                <w:left w:space="0" w:sz="0" w:val="nil"/>
                <w:bottom w:space="0" w:sz="0" w:val="nil"/>
                <w:right w:space="0" w:sz="0" w:val="nil"/>
                <w:between w:space="0" w:sz="0" w:val="nil"/>
              </w:pBdr>
              <w:spacing w:after="120" w:before="120" w:lineRule="auto"/>
              <w:ind w:left="142"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Criteria </w:t>
            </w:r>
          </w:p>
        </w:tc>
        <w:tc>
          <w:tcPr>
            <w:shd w:fill="e7e6e6" w:val="clear"/>
          </w:tcPr>
          <w:p w:rsidR="00000000" w:rsidDel="00000000" w:rsidP="00000000" w:rsidRDefault="00000000" w:rsidRPr="00000000" w14:paraId="0000006A">
            <w:pPr>
              <w:widowControl w:val="1"/>
              <w:spacing w:after="200" w:before="120" w:line="276"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Relative weighting percentage </w:t>
            </w:r>
          </w:p>
          <w:p w:rsidR="00000000" w:rsidDel="00000000" w:rsidP="00000000" w:rsidRDefault="00000000" w:rsidRPr="00000000" w14:paraId="0000006B">
            <w:pPr>
              <w:widowControl w:val="1"/>
              <w:spacing w:after="200" w:line="276"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sz w:val="24"/>
                <w:szCs w:val="24"/>
                <w:rtl w:val="0"/>
              </w:rPr>
              <w:t xml:space="preserve"> where weighting is not possible for objective reasons, list the criteria in decreasing order of importance, amend the column heading to read 'Rank order of importance where 1 = most important, 2 = second most important etc.'. The figure 1 must be in the top row, running down to the least important in the bottom row.]</w:t>
            </w:r>
            <w:r w:rsidDel="00000000" w:rsidR="00000000" w:rsidRPr="00000000">
              <w:rPr>
                <w:rtl w:val="0"/>
              </w:rPr>
            </w:r>
          </w:p>
        </w:tc>
      </w:tr>
      <w:tr>
        <w:tc>
          <w:tcPr>
            <w:gridSpan w:val="2"/>
          </w:tcPr>
          <w:p w:rsidR="00000000" w:rsidDel="00000000" w:rsidP="00000000" w:rsidRDefault="00000000" w:rsidRPr="00000000" w14:paraId="0000006C">
            <w:pPr>
              <w:keepNext w:val="1"/>
              <w:widowControl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D">
            <w:pPr>
              <w:widowControl w:val="1"/>
              <w:pBdr>
                <w:top w:space="0" w:sz="0" w:val="nil"/>
                <w:left w:space="0" w:sz="0" w:val="nil"/>
                <w:bottom w:space="0" w:sz="0" w:val="nil"/>
                <w:right w:space="0" w:sz="0" w:val="nil"/>
                <w:between w:space="0" w:sz="0" w:val="nil"/>
              </w:pBdr>
              <w:spacing w:after="280" w:before="120" w:line="259" w:lineRule="auto"/>
              <w:ind w:left="176" w:hanging="720"/>
              <w:jc w:val="center"/>
              <w:rPr>
                <w:rFonts w:ascii="Arial" w:cs="Arial" w:eastAsia="Arial" w:hAnsi="Arial"/>
                <w:color w:val="000000"/>
                <w:highlight w:val="white"/>
              </w:rPr>
            </w:pPr>
            <w:r w:rsidDel="00000000" w:rsidR="00000000" w:rsidRPr="00000000">
              <w:rPr>
                <w:rFonts w:ascii="Arial" w:cs="Arial" w:eastAsia="Arial" w:hAnsi="Arial"/>
                <w:color w:val="000000"/>
                <w:highlight w:val="white"/>
                <w:rtl w:val="0"/>
              </w:rPr>
              <w:t xml:space="preserve">Value for money: e.g. </w:t>
            </w:r>
          </w:p>
          <w:p w:rsidR="00000000" w:rsidDel="00000000" w:rsidP="00000000" w:rsidRDefault="00000000" w:rsidRPr="00000000" w14:paraId="0000006E">
            <w:pPr>
              <w:widowControl w:val="1"/>
              <w:pBdr>
                <w:top w:space="0" w:sz="0" w:val="nil"/>
                <w:left w:space="0" w:sz="0" w:val="nil"/>
                <w:bottom w:space="0" w:sz="0" w:val="nil"/>
                <w:right w:space="0" w:sz="0" w:val="nil"/>
                <w:between w:space="0" w:sz="0" w:val="nil"/>
              </w:pBdr>
              <w:spacing w:after="280" w:before="120" w:line="259" w:lineRule="auto"/>
              <w:ind w:left="176" w:hanging="720"/>
              <w:jc w:val="center"/>
              <w:rPr>
                <w:rFonts w:ascii="Arial" w:cs="Arial" w:eastAsia="Arial" w:hAnsi="Arial"/>
                <w:color w:val="000000"/>
                <w:highlight w:val="white"/>
              </w:rPr>
            </w:pPr>
            <w:r w:rsidDel="00000000" w:rsidR="00000000" w:rsidRPr="00000000">
              <w:rPr>
                <w:rFonts w:ascii="Arial" w:cs="Arial" w:eastAsia="Arial" w:hAnsi="Arial"/>
                <w:color w:val="000000"/>
                <w:highlight w:val="white"/>
                <w:rtl w:val="0"/>
              </w:rPr>
              <w:t xml:space="preserve">the Buyer believes that the Supplier provides</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color w:val="000000"/>
                <w:highlight w:val="white"/>
                <w:rtl w:val="0"/>
              </w:rPr>
              <w:t xml:space="preserve">demonstrable value for money, </w:t>
            </w:r>
          </w:p>
          <w:p w:rsidR="00000000" w:rsidDel="00000000" w:rsidP="00000000" w:rsidRDefault="00000000" w:rsidRPr="00000000" w14:paraId="0000006F">
            <w:pPr>
              <w:widowControl w:val="1"/>
              <w:pBdr>
                <w:top w:space="0" w:sz="0" w:val="nil"/>
                <w:left w:space="0" w:sz="0" w:val="nil"/>
                <w:bottom w:space="0" w:sz="0" w:val="nil"/>
                <w:right w:space="0" w:sz="0" w:val="nil"/>
                <w:between w:space="0" w:sz="0" w:val="nil"/>
              </w:pBdr>
              <w:spacing w:after="280" w:before="120" w:line="259" w:lineRule="auto"/>
              <w:ind w:left="176" w:hanging="720"/>
              <w:jc w:val="center"/>
              <w:rPr>
                <w:rFonts w:ascii="Arial" w:cs="Arial" w:eastAsia="Arial" w:hAnsi="Arial"/>
                <w:color w:val="000000"/>
                <w:highlight w:val="white"/>
              </w:rPr>
            </w:pPr>
            <w:r w:rsidDel="00000000" w:rsidR="00000000" w:rsidRPr="00000000">
              <w:rPr>
                <w:rFonts w:ascii="Arial" w:cs="Arial" w:eastAsia="Arial" w:hAnsi="Arial"/>
                <w:color w:val="000000"/>
                <w:highlight w:val="white"/>
                <w:rtl w:val="0"/>
              </w:rPr>
              <w:t xml:space="preserve">which may include but is not limited to:</w:t>
            </w:r>
          </w:p>
          <w:p w:rsidR="00000000" w:rsidDel="00000000" w:rsidP="00000000" w:rsidRDefault="00000000" w:rsidRPr="00000000" w14:paraId="00000070">
            <w:pPr>
              <w:widowControl w:val="1"/>
              <w:pBdr>
                <w:top w:space="0" w:sz="0" w:val="nil"/>
                <w:left w:space="0" w:sz="0" w:val="nil"/>
                <w:bottom w:space="0" w:sz="0" w:val="nil"/>
                <w:right w:space="0" w:sz="0" w:val="nil"/>
                <w:between w:space="0" w:sz="0" w:val="nil"/>
              </w:pBdr>
              <w:ind w:left="176" w:hanging="360"/>
              <w:jc w:val="center"/>
              <w:rPr>
                <w:rFonts w:ascii="Arial" w:cs="Arial" w:eastAsia="Arial" w:hAnsi="Arial"/>
                <w:color w:val="000000"/>
                <w:highlight w:val="white"/>
              </w:rPr>
            </w:pPr>
            <w:r w:rsidDel="00000000" w:rsidR="00000000" w:rsidRPr="00000000">
              <w:rPr>
                <w:rFonts w:ascii="Arial" w:cs="Arial" w:eastAsia="Arial" w:hAnsi="Arial"/>
                <w:color w:val="000000"/>
                <w:highlight w:val="white"/>
                <w:rtl w:val="0"/>
              </w:rPr>
              <w:t xml:space="preserve">● Cost effectiveness;</w:t>
            </w:r>
          </w:p>
          <w:p w:rsidR="00000000" w:rsidDel="00000000" w:rsidP="00000000" w:rsidRDefault="00000000" w:rsidRPr="00000000" w14:paraId="00000071">
            <w:pPr>
              <w:widowControl w:val="1"/>
              <w:pBdr>
                <w:top w:space="0" w:sz="0" w:val="nil"/>
                <w:left w:space="0" w:sz="0" w:val="nil"/>
                <w:bottom w:space="0" w:sz="0" w:val="nil"/>
                <w:right w:space="0" w:sz="0" w:val="nil"/>
                <w:between w:space="0" w:sz="0" w:val="nil"/>
              </w:pBdr>
              <w:ind w:left="176" w:hanging="360"/>
              <w:jc w:val="center"/>
              <w:rPr>
                <w:rFonts w:ascii="Arial" w:cs="Arial" w:eastAsia="Arial" w:hAnsi="Arial"/>
                <w:color w:val="000000"/>
                <w:highlight w:val="white"/>
              </w:rPr>
            </w:pPr>
            <w:r w:rsidDel="00000000" w:rsidR="00000000" w:rsidRPr="00000000">
              <w:rPr>
                <w:rFonts w:ascii="Arial" w:cs="Arial" w:eastAsia="Arial" w:hAnsi="Arial"/>
                <w:color w:val="000000"/>
                <w:highlight w:val="white"/>
                <w:rtl w:val="0"/>
              </w:rPr>
              <w:t xml:space="preserve">● Price; and</w:t>
            </w:r>
            <w:r w:rsidDel="00000000" w:rsidR="00000000" w:rsidRPr="00000000">
              <w:rPr>
                <w:rFonts w:ascii="Arial" w:cs="Arial" w:eastAsia="Arial" w:hAnsi="Arial"/>
                <w:color w:val="000000"/>
                <w:rtl w:val="0"/>
              </w:rPr>
              <w:br w:type="textWrapping"/>
            </w:r>
            <w:r w:rsidDel="00000000" w:rsidR="00000000" w:rsidRPr="00000000">
              <w:rPr>
                <w:rFonts w:ascii="Arial" w:cs="Arial" w:eastAsia="Arial" w:hAnsi="Arial"/>
                <w:color w:val="000000"/>
                <w:highlight w:val="white"/>
                <w:rtl w:val="0"/>
              </w:rPr>
              <w:t xml:space="preserve">● Quality.</w:t>
            </w:r>
          </w:p>
        </w:tc>
      </w:tr>
    </w:tbl>
    <w:p w:rsidR="00000000" w:rsidDel="00000000" w:rsidP="00000000" w:rsidRDefault="00000000" w:rsidRPr="00000000" w14:paraId="00000073">
      <w:pPr>
        <w:widowControl w:val="1"/>
        <w:pBdr>
          <w:top w:space="0" w:sz="0" w:val="nil"/>
          <w:left w:space="0" w:sz="0" w:val="nil"/>
          <w:bottom w:space="0" w:sz="0" w:val="nil"/>
          <w:right w:space="0" w:sz="0" w:val="nil"/>
          <w:between w:space="0" w:sz="0" w:val="nil"/>
        </w:pBdr>
        <w:ind w:left="1080" w:firstLine="0"/>
        <w:jc w:val="both"/>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74">
      <w:pPr>
        <w:widowControl w:val="1"/>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rFonts w:ascii="Arial" w:cs="Arial" w:eastAsia="Arial" w:hAnsi="Arial"/>
          <w:color w:val="000000"/>
          <w:sz w:val="24"/>
          <w:szCs w:val="24"/>
          <w:rtl w:val="0"/>
        </w:rPr>
        <w:t xml:space="preserve">Direct award - In keeping with PPN 06/20, the Buyer should agree with the Supplier what they can and will do to help work towards the social value priorities set out in the Framework Schedule 1(Specification).  Rather than setting targets for the Supplier, Buyers should discuss with them what would be an appropriate and proportionate commitment, and this commitment will form part of the Call-off Contract.  Buyers would then evaluate the supplier’s performance against this commitment as part of ongoing contract management.</w:t>
      </w:r>
      <w:r w:rsidDel="00000000" w:rsidR="00000000" w:rsidRPr="00000000">
        <w:rPr>
          <w:rtl w:val="0"/>
        </w:rPr>
      </w:r>
    </w:p>
    <w:p w:rsidR="00000000" w:rsidDel="00000000" w:rsidP="00000000" w:rsidRDefault="00000000" w:rsidRPr="00000000" w14:paraId="00000075">
      <w:pPr>
        <w:keepNext w:val="1"/>
        <w:widowControl w:val="1"/>
        <w:pBdr>
          <w:top w:space="0" w:sz="0" w:val="nil"/>
          <w:left w:space="0" w:sz="0" w:val="nil"/>
          <w:bottom w:space="0" w:sz="0" w:val="nil"/>
          <w:right w:space="0" w:sz="0" w:val="nil"/>
          <w:between w:space="0" w:sz="0" w:val="nil"/>
        </w:pBdr>
        <w:spacing w:after="240" w:before="240" w:lineRule="auto"/>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Annex B: Further Competition Award Criteria</w:t>
      </w:r>
    </w:p>
    <w:p w:rsidR="00000000" w:rsidDel="00000000" w:rsidP="00000000" w:rsidRDefault="00000000" w:rsidRPr="00000000" w14:paraId="00000076">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Lot 2 &amp; 4 the</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 following criteria and weightings shall apply to the evaluation of tenders received through the Further Competition Procedure:</w:t>
      </w:r>
    </w:p>
    <w:p w:rsidR="00000000" w:rsidDel="00000000" w:rsidP="00000000" w:rsidRDefault="00000000" w:rsidRPr="00000000" w14:paraId="00000077">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Lots 2 &amp; 4</w:t>
      </w:r>
      <w:r w:rsidDel="00000000" w:rsidR="00000000" w:rsidRPr="00000000">
        <w:rPr>
          <w:rtl w:val="0"/>
        </w:rPr>
        <w:t xml:space="preserve">     </w:t>
      </w:r>
      <w:r w:rsidDel="00000000" w:rsidR="00000000" w:rsidRPr="00000000">
        <w:rPr>
          <w:rtl w:val="0"/>
        </w:rPr>
      </w:r>
    </w:p>
    <w:tbl>
      <w:tblPr>
        <w:tblStyle w:val="Table2"/>
        <w:tblW w:w="847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71"/>
        <w:gridCol w:w="4154"/>
        <w:gridCol w:w="3051"/>
        <w:tblGridChange w:id="0">
          <w:tblGrid>
            <w:gridCol w:w="1271"/>
            <w:gridCol w:w="4154"/>
            <w:gridCol w:w="3051"/>
          </w:tblGrid>
        </w:tblGridChange>
      </w:tblGrid>
      <w:tr>
        <w:tc>
          <w:tcPr>
            <w:shd w:fill="e7e6e6" w:val="clear"/>
          </w:tcPr>
          <w:p w:rsidR="00000000" w:rsidDel="00000000" w:rsidP="00000000" w:rsidRDefault="00000000" w:rsidRPr="00000000" w14:paraId="00000078">
            <w:pPr>
              <w:widowControl w:val="1"/>
              <w:pBdr>
                <w:top w:space="0" w:sz="0" w:val="nil"/>
                <w:left w:space="0" w:sz="0" w:val="nil"/>
                <w:bottom w:space="0" w:sz="0" w:val="nil"/>
                <w:right w:space="0" w:sz="0" w:val="nil"/>
                <w:between w:space="0" w:sz="0" w:val="nil"/>
              </w:pBdr>
              <w:tabs>
                <w:tab w:val="left" w:pos="851"/>
              </w:tabs>
              <w:spacing w:after="120" w:before="120" w:lineRule="auto"/>
              <w:jc w:val="both"/>
              <w:rPr>
                <w:rFonts w:ascii="Arial" w:cs="Arial" w:eastAsia="Arial" w:hAnsi="Arial"/>
                <w:color w:val="000000"/>
              </w:rPr>
            </w:pPr>
            <w:r w:rsidDel="00000000" w:rsidR="00000000" w:rsidRPr="00000000">
              <w:rPr>
                <w:rFonts w:ascii="Arial" w:cs="Arial" w:eastAsia="Arial" w:hAnsi="Arial"/>
                <w:b w:val="1"/>
                <w:color w:val="000000"/>
                <w:rtl w:val="0"/>
              </w:rPr>
              <w:t xml:space="preserve">Criteria</w:t>
            </w:r>
            <w:r w:rsidDel="00000000" w:rsidR="00000000" w:rsidRPr="00000000">
              <w:rPr>
                <w:rtl w:val="0"/>
              </w:rPr>
            </w:r>
          </w:p>
        </w:tc>
        <w:tc>
          <w:tcPr>
            <w:shd w:fill="e7e6e6" w:val="clear"/>
          </w:tcPr>
          <w:p w:rsidR="00000000" w:rsidDel="00000000" w:rsidP="00000000" w:rsidRDefault="00000000" w:rsidRPr="00000000" w14:paraId="00000079">
            <w:pPr>
              <w:widowControl w:val="1"/>
              <w:pBdr>
                <w:top w:space="0" w:sz="0" w:val="nil"/>
                <w:left w:space="0" w:sz="0" w:val="nil"/>
                <w:bottom w:space="0" w:sz="0" w:val="nil"/>
                <w:right w:space="0" w:sz="0" w:val="nil"/>
                <w:between w:space="0" w:sz="0" w:val="nil"/>
              </w:pBdr>
              <w:tabs>
                <w:tab w:val="left" w:pos="851"/>
              </w:tabs>
              <w:spacing w:after="120" w:before="120" w:lineRule="auto"/>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Percentage Weightings (or rank order of importance where applicable) - to be set by the Customer conducting the Further Competition Procedure</w:t>
            </w:r>
          </w:p>
        </w:tc>
        <w:tc>
          <w:tcPr>
            <w:shd w:fill="e7e6e6" w:val="clear"/>
          </w:tcPr>
          <w:p w:rsidR="00000000" w:rsidDel="00000000" w:rsidP="00000000" w:rsidRDefault="00000000" w:rsidRPr="00000000" w14:paraId="0000007A">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Allowable Variance </w:t>
            </w:r>
          </w:p>
          <w:p w:rsidR="00000000" w:rsidDel="00000000" w:rsidP="00000000" w:rsidRDefault="00000000" w:rsidRPr="00000000" w14:paraId="0000007B">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rPr>
            </w:pPr>
            <w:r w:rsidDel="00000000" w:rsidR="00000000" w:rsidRPr="00000000">
              <w:rPr>
                <w:rFonts w:ascii="Arial" w:cs="Arial" w:eastAsia="Arial" w:hAnsi="Arial"/>
                <w:b w:val="1"/>
                <w:color w:val="000000"/>
                <w:rtl w:val="0"/>
              </w:rPr>
              <w:t xml:space="preserve">(This may be modified by the Customer within the range below)</w:t>
            </w:r>
            <w:r w:rsidDel="00000000" w:rsidR="00000000" w:rsidRPr="00000000">
              <w:rPr>
                <w:color w:val="000000"/>
                <w:rtl w:val="0"/>
              </w:rPr>
              <w:t xml:space="preserve"> </w:t>
            </w:r>
            <w:r w:rsidDel="00000000" w:rsidR="00000000" w:rsidRPr="00000000">
              <w:rPr>
                <w:rtl w:val="0"/>
              </w:rPr>
            </w:r>
          </w:p>
        </w:tc>
      </w:tr>
      <w:tr>
        <w:tc>
          <w:tcPr/>
          <w:p w:rsidR="00000000" w:rsidDel="00000000" w:rsidP="00000000" w:rsidRDefault="00000000" w:rsidRPr="00000000" w14:paraId="0000007C">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Quality </w:t>
            </w:r>
          </w:p>
        </w:tc>
        <w:tc>
          <w:tcPr/>
          <w:p w:rsidR="00000000" w:rsidDel="00000000" w:rsidP="00000000" w:rsidRDefault="00000000" w:rsidRPr="00000000" w14:paraId="0000007D">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50%</w:t>
            </w:r>
          </w:p>
        </w:tc>
        <w:tc>
          <w:tcPr/>
          <w:p w:rsidR="00000000" w:rsidDel="00000000" w:rsidP="00000000" w:rsidRDefault="00000000" w:rsidRPr="00000000" w14:paraId="0000007E">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Buyers can modify the percentage weighting to meet their requirements using a variance level of:</w:t>
            </w:r>
          </w:p>
          <w:p w:rsidR="00000000" w:rsidDel="00000000" w:rsidP="00000000" w:rsidRDefault="00000000" w:rsidRPr="00000000" w14:paraId="0000007F">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+ 40% (50% to 90%) </w:t>
            </w:r>
          </w:p>
        </w:tc>
      </w:tr>
      <w:tr>
        <w:tc>
          <w:tcPr/>
          <w:p w:rsidR="00000000" w:rsidDel="00000000" w:rsidP="00000000" w:rsidRDefault="00000000" w:rsidRPr="00000000" w14:paraId="00000080">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Price </w:t>
            </w:r>
          </w:p>
        </w:tc>
        <w:tc>
          <w:tcPr/>
          <w:p w:rsidR="00000000" w:rsidDel="00000000" w:rsidP="00000000" w:rsidRDefault="00000000" w:rsidRPr="00000000" w14:paraId="00000081">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50%</w:t>
            </w:r>
          </w:p>
        </w:tc>
        <w:tc>
          <w:tcPr/>
          <w:p w:rsidR="00000000" w:rsidDel="00000000" w:rsidP="00000000" w:rsidRDefault="00000000" w:rsidRPr="00000000" w14:paraId="00000082">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Buyers can modify the percentage weighting to meet their requirements using a variance level of:</w:t>
            </w:r>
          </w:p>
          <w:p w:rsidR="00000000" w:rsidDel="00000000" w:rsidP="00000000" w:rsidRDefault="00000000" w:rsidRPr="00000000" w14:paraId="00000083">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- 40% (10% to 50%) </w:t>
            </w:r>
          </w:p>
        </w:tc>
      </w:tr>
    </w:tbl>
    <w:p w:rsidR="00000000" w:rsidDel="00000000" w:rsidP="00000000" w:rsidRDefault="00000000" w:rsidRPr="00000000" w14:paraId="00000084">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5">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Lot 3 the following criteria and weightings shall apply to the evaluation of tenders received through the Further Competition Procedure:</w:t>
      </w:r>
    </w:p>
    <w:p w:rsidR="00000000" w:rsidDel="00000000" w:rsidP="00000000" w:rsidRDefault="00000000" w:rsidRPr="00000000" w14:paraId="00000086">
      <w:pPr>
        <w:widowControl w:val="1"/>
        <w:pBdr>
          <w:top w:space="0" w:sz="0" w:val="nil"/>
          <w:left w:space="0" w:sz="0" w:val="nil"/>
          <w:bottom w:space="0" w:sz="0" w:val="nil"/>
          <w:right w:space="0" w:sz="0" w:val="nil"/>
          <w:between w:space="0" w:sz="0" w:val="nil"/>
        </w:pBdr>
        <w:tabs>
          <w:tab w:val="left" w:pos="851"/>
          <w:tab w:val="left" w:pos="1283"/>
        </w:tabs>
        <w:spacing w:after="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Lots 3</w:t>
        <w:tab/>
      </w:r>
    </w:p>
    <w:tbl>
      <w:tblPr>
        <w:tblStyle w:val="Table3"/>
        <w:tblW w:w="847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71"/>
        <w:gridCol w:w="2693"/>
        <w:gridCol w:w="4512"/>
        <w:tblGridChange w:id="0">
          <w:tblGrid>
            <w:gridCol w:w="1271"/>
            <w:gridCol w:w="2693"/>
            <w:gridCol w:w="4512"/>
          </w:tblGrid>
        </w:tblGridChange>
      </w:tblGrid>
      <w:tr>
        <w:tc>
          <w:tcPr>
            <w:shd w:fill="e7e6e6" w:val="clear"/>
          </w:tcPr>
          <w:p w:rsidR="00000000" w:rsidDel="00000000" w:rsidP="00000000" w:rsidRDefault="00000000" w:rsidRPr="00000000" w14:paraId="00000087">
            <w:pPr>
              <w:widowControl w:val="1"/>
              <w:pBdr>
                <w:top w:space="0" w:sz="0" w:val="nil"/>
                <w:left w:space="0" w:sz="0" w:val="nil"/>
                <w:bottom w:space="0" w:sz="0" w:val="nil"/>
                <w:right w:space="0" w:sz="0" w:val="nil"/>
                <w:between w:space="0" w:sz="0" w:val="nil"/>
              </w:pBdr>
              <w:tabs>
                <w:tab w:val="left" w:pos="851"/>
              </w:tabs>
              <w:spacing w:after="120" w:before="120" w:lineRule="auto"/>
              <w:jc w:val="both"/>
              <w:rPr>
                <w:rFonts w:ascii="Arial" w:cs="Arial" w:eastAsia="Arial" w:hAnsi="Arial"/>
                <w:color w:val="000000"/>
              </w:rPr>
            </w:pPr>
            <w:r w:rsidDel="00000000" w:rsidR="00000000" w:rsidRPr="00000000">
              <w:rPr>
                <w:rFonts w:ascii="Arial" w:cs="Arial" w:eastAsia="Arial" w:hAnsi="Arial"/>
                <w:b w:val="1"/>
                <w:color w:val="000000"/>
                <w:rtl w:val="0"/>
              </w:rPr>
              <w:t xml:space="preserve">Criteria</w:t>
            </w:r>
            <w:r w:rsidDel="00000000" w:rsidR="00000000" w:rsidRPr="00000000">
              <w:rPr>
                <w:rtl w:val="0"/>
              </w:rPr>
            </w:r>
          </w:p>
        </w:tc>
        <w:tc>
          <w:tcPr>
            <w:shd w:fill="e7e6e6" w:val="clear"/>
          </w:tcPr>
          <w:p w:rsidR="00000000" w:rsidDel="00000000" w:rsidP="00000000" w:rsidRDefault="00000000" w:rsidRPr="00000000" w14:paraId="00000088">
            <w:pPr>
              <w:widowControl w:val="1"/>
              <w:pBdr>
                <w:top w:space="0" w:sz="0" w:val="nil"/>
                <w:left w:space="0" w:sz="0" w:val="nil"/>
                <w:bottom w:space="0" w:sz="0" w:val="nil"/>
                <w:right w:space="0" w:sz="0" w:val="nil"/>
                <w:between w:space="0" w:sz="0" w:val="nil"/>
              </w:pBdr>
              <w:tabs>
                <w:tab w:val="left" w:pos="851"/>
              </w:tabs>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Percentage Weightings (or rank order of importance where applicable) - to be set by the Customer conducting the Further Competition Procedure</w:t>
            </w:r>
          </w:p>
        </w:tc>
        <w:tc>
          <w:tcPr>
            <w:shd w:fill="e7e6e6" w:val="clear"/>
          </w:tcPr>
          <w:p w:rsidR="00000000" w:rsidDel="00000000" w:rsidP="00000000" w:rsidRDefault="00000000" w:rsidRPr="00000000" w14:paraId="00000089">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Allowable Variance </w:t>
            </w:r>
          </w:p>
          <w:p w:rsidR="00000000" w:rsidDel="00000000" w:rsidP="00000000" w:rsidRDefault="00000000" w:rsidRPr="00000000" w14:paraId="0000008A">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rPr>
            </w:pPr>
            <w:r w:rsidDel="00000000" w:rsidR="00000000" w:rsidRPr="00000000">
              <w:rPr>
                <w:rFonts w:ascii="Arial" w:cs="Arial" w:eastAsia="Arial" w:hAnsi="Arial"/>
                <w:b w:val="1"/>
                <w:color w:val="000000"/>
                <w:rtl w:val="0"/>
              </w:rPr>
              <w:t xml:space="preserve">(This may be modified by the Customer within the range below)</w:t>
            </w:r>
            <w:r w:rsidDel="00000000" w:rsidR="00000000" w:rsidRPr="00000000">
              <w:rPr>
                <w:color w:val="000000"/>
                <w:rtl w:val="0"/>
              </w:rPr>
              <w:t xml:space="preserve"> </w:t>
            </w:r>
            <w:r w:rsidDel="00000000" w:rsidR="00000000" w:rsidRPr="00000000">
              <w:rPr>
                <w:rtl w:val="0"/>
              </w:rPr>
            </w:r>
          </w:p>
        </w:tc>
      </w:tr>
      <w:tr>
        <w:tc>
          <w:tcPr/>
          <w:p w:rsidR="00000000" w:rsidDel="00000000" w:rsidP="00000000" w:rsidRDefault="00000000" w:rsidRPr="00000000" w14:paraId="0000008B">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Quality </w:t>
            </w:r>
          </w:p>
        </w:tc>
        <w:tc>
          <w:tcPr/>
          <w:p w:rsidR="00000000" w:rsidDel="00000000" w:rsidP="00000000" w:rsidRDefault="00000000" w:rsidRPr="00000000" w14:paraId="0000008C">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70%</w:t>
            </w:r>
          </w:p>
        </w:tc>
        <w:tc>
          <w:tcPr/>
          <w:p w:rsidR="00000000" w:rsidDel="00000000" w:rsidP="00000000" w:rsidRDefault="00000000" w:rsidRPr="00000000" w14:paraId="0000008D">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Buyers can modify the percentage weighting to meet their requirements using a variance level of:</w:t>
            </w:r>
          </w:p>
          <w:p w:rsidR="00000000" w:rsidDel="00000000" w:rsidP="00000000" w:rsidRDefault="00000000" w:rsidRPr="00000000" w14:paraId="0000008E">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+10% or - 50%  (80% to 20%) </w:t>
            </w:r>
          </w:p>
        </w:tc>
      </w:tr>
      <w:tr>
        <w:tc>
          <w:tcPr/>
          <w:p w:rsidR="00000000" w:rsidDel="00000000" w:rsidP="00000000" w:rsidRDefault="00000000" w:rsidRPr="00000000" w14:paraId="0000008F">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Price </w:t>
            </w:r>
          </w:p>
        </w:tc>
        <w:tc>
          <w:tcPr/>
          <w:p w:rsidR="00000000" w:rsidDel="00000000" w:rsidP="00000000" w:rsidRDefault="00000000" w:rsidRPr="00000000" w14:paraId="00000090">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30%</w:t>
            </w:r>
          </w:p>
        </w:tc>
        <w:tc>
          <w:tcPr/>
          <w:p w:rsidR="00000000" w:rsidDel="00000000" w:rsidP="00000000" w:rsidRDefault="00000000" w:rsidRPr="00000000" w14:paraId="00000091">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Buyers can modify the percentage weighting to meet their requirements using a variance level of:</w:t>
            </w:r>
          </w:p>
          <w:p w:rsidR="00000000" w:rsidDel="00000000" w:rsidP="00000000" w:rsidRDefault="00000000" w:rsidRPr="00000000" w14:paraId="00000092">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+ 50%  or -10%  (80% to 20%) </w:t>
            </w:r>
          </w:p>
        </w:tc>
      </w:tr>
    </w:tbl>
    <w:p w:rsidR="00000000" w:rsidDel="00000000" w:rsidP="00000000" w:rsidRDefault="00000000" w:rsidRPr="00000000" w14:paraId="00000093">
      <w:pPr>
        <w:widowControl w:val="1"/>
        <w:pBdr>
          <w:top w:space="0" w:sz="0" w:val="nil"/>
          <w:left w:space="0" w:sz="0" w:val="nil"/>
          <w:bottom w:space="0" w:sz="0" w:val="nil"/>
          <w:right w:space="0" w:sz="0" w:val="nil"/>
          <w:between w:space="0" w:sz="0" w:val="nil"/>
        </w:pBdr>
        <w:jc w:val="both"/>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94">
      <w:pPr>
        <w:widowControl w:val="1"/>
        <w:pBdr>
          <w:top w:space="0" w:sz="0" w:val="nil"/>
          <w:left w:space="0" w:sz="0" w:val="nil"/>
          <w:bottom w:space="0" w:sz="0" w:val="nil"/>
          <w:right w:space="0" w:sz="0" w:val="nil"/>
          <w:between w:space="0" w:sz="0" w:val="nil"/>
        </w:pBdr>
        <w:spacing w:after="240" w:lineRule="auto"/>
        <w:jc w:val="both"/>
        <w:rPr>
          <w:rFonts w:ascii="Times New Roman" w:cs="Times New Roman" w:eastAsia="Times New Roman" w:hAnsi="Times New Roman"/>
          <w:color w:val="000000"/>
          <w:sz w:val="24"/>
          <w:szCs w:val="24"/>
        </w:rPr>
      </w:pPr>
      <w:r w:rsidDel="00000000" w:rsidR="00000000" w:rsidRPr="00000000">
        <w:rPr>
          <w:rFonts w:ascii="Arial" w:cs="Arial" w:eastAsia="Arial" w:hAnsi="Arial"/>
          <w:color w:val="000000"/>
          <w:sz w:val="24"/>
          <w:szCs w:val="24"/>
          <w:rtl w:val="0"/>
        </w:rPr>
        <w:t xml:space="preserve">Example of Quality criteria may include but not limited to</w:t>
      </w:r>
      <w:r w:rsidDel="00000000" w:rsidR="00000000" w:rsidRPr="00000000">
        <w:rPr>
          <w:rtl w:val="0"/>
        </w:rPr>
      </w:r>
    </w:p>
    <w:p w:rsidR="00000000" w:rsidDel="00000000" w:rsidP="00000000" w:rsidRDefault="00000000" w:rsidRPr="00000000" w14:paraId="00000095">
      <w:pPr>
        <w:widowControl w:val="1"/>
        <w:numPr>
          <w:ilvl w:val="0"/>
          <w:numId w:val="3"/>
        </w:numPr>
        <w:pBdr>
          <w:top w:space="0" w:sz="0" w:val="nil"/>
          <w:left w:space="0" w:sz="0" w:val="nil"/>
          <w:bottom w:space="0" w:sz="0" w:val="nil"/>
          <w:right w:space="0" w:sz="0" w:val="nil"/>
          <w:between w:space="0" w:sz="0" w:val="nil"/>
        </w:pBdr>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Added Value / Innovation</w:t>
      </w:r>
    </w:p>
    <w:p w:rsidR="00000000" w:rsidDel="00000000" w:rsidP="00000000" w:rsidRDefault="00000000" w:rsidRPr="00000000" w14:paraId="00000096">
      <w:pPr>
        <w:widowControl w:val="1"/>
        <w:numPr>
          <w:ilvl w:val="0"/>
          <w:numId w:val="3"/>
        </w:numPr>
        <w:pBdr>
          <w:top w:space="0" w:sz="0" w:val="nil"/>
          <w:left w:space="0" w:sz="0" w:val="nil"/>
          <w:bottom w:space="0" w:sz="0" w:val="nil"/>
          <w:right w:space="0" w:sz="0" w:val="nil"/>
          <w:between w:space="0" w:sz="0" w:val="nil"/>
        </w:pBdr>
        <w:ind w:left="720" w:hanging="360"/>
        <w:rPr>
          <w:rFonts w:ascii="Times New Roman" w:cs="Times New Roman" w:eastAsia="Times New Roman" w:hAnsi="Times New Roman"/>
          <w:color w:val="000000"/>
          <w:sz w:val="24"/>
          <w:szCs w:val="24"/>
        </w:rPr>
      </w:pPr>
      <w:r w:rsidDel="00000000" w:rsidR="00000000" w:rsidRPr="00000000">
        <w:rPr>
          <w:rFonts w:ascii="Arial" w:cs="Arial" w:eastAsia="Arial" w:hAnsi="Arial"/>
          <w:color w:val="000000"/>
          <w:sz w:val="24"/>
          <w:szCs w:val="24"/>
          <w:rtl w:val="0"/>
        </w:rPr>
        <w:t xml:space="preserve">Social Value - Buyers in scope of PPN 06/20 they may give social value a minimum weighting of 10%</w:t>
      </w:r>
      <w:r w:rsidDel="00000000" w:rsidR="00000000" w:rsidRPr="00000000">
        <w:rPr>
          <w:rtl w:val="0"/>
        </w:rPr>
      </w:r>
    </w:p>
    <w:p w:rsidR="00000000" w:rsidDel="00000000" w:rsidP="00000000" w:rsidRDefault="00000000" w:rsidRPr="00000000" w14:paraId="00000097">
      <w:pPr>
        <w:widowControl w:val="1"/>
        <w:numPr>
          <w:ilvl w:val="0"/>
          <w:numId w:val="3"/>
        </w:numPr>
        <w:pBdr>
          <w:top w:space="0" w:sz="0" w:val="nil"/>
          <w:left w:space="0" w:sz="0" w:val="nil"/>
          <w:bottom w:space="0" w:sz="0" w:val="nil"/>
          <w:right w:space="0" w:sz="0" w:val="nil"/>
          <w:between w:space="0" w:sz="0" w:val="nil"/>
        </w:pBdr>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Approach to delivery of the Services</w:t>
      </w:r>
    </w:p>
    <w:p w:rsidR="00000000" w:rsidDel="00000000" w:rsidP="00000000" w:rsidRDefault="00000000" w:rsidRPr="00000000" w14:paraId="00000098">
      <w:pPr>
        <w:widowControl w:val="1"/>
        <w:numPr>
          <w:ilvl w:val="0"/>
          <w:numId w:val="3"/>
        </w:numPr>
        <w:pBdr>
          <w:top w:space="0" w:sz="0" w:val="nil"/>
          <w:left w:space="0" w:sz="0" w:val="nil"/>
          <w:bottom w:space="0" w:sz="0" w:val="nil"/>
          <w:right w:space="0" w:sz="0" w:val="nil"/>
          <w:between w:space="0" w:sz="0" w:val="nil"/>
        </w:pBdr>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Implementation</w:t>
      </w:r>
    </w:p>
    <w:p w:rsidR="00000000" w:rsidDel="00000000" w:rsidP="00000000" w:rsidRDefault="00000000" w:rsidRPr="00000000" w14:paraId="00000099">
      <w:pPr>
        <w:widowControl w:val="1"/>
        <w:numPr>
          <w:ilvl w:val="0"/>
          <w:numId w:val="3"/>
        </w:numPr>
        <w:pBdr>
          <w:top w:space="0" w:sz="0" w:val="nil"/>
          <w:left w:space="0" w:sz="0" w:val="nil"/>
          <w:bottom w:space="0" w:sz="0" w:val="nil"/>
          <w:right w:space="0" w:sz="0" w:val="nil"/>
          <w:between w:space="0" w:sz="0" w:val="nil"/>
        </w:pBdr>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Use of Supply Chain / Partners</w:t>
      </w:r>
    </w:p>
    <w:p w:rsidR="00000000" w:rsidDel="00000000" w:rsidP="00000000" w:rsidRDefault="00000000" w:rsidRPr="00000000" w14:paraId="0000009A">
      <w:pPr>
        <w:widowControl w:val="1"/>
        <w:numPr>
          <w:ilvl w:val="0"/>
          <w:numId w:val="3"/>
        </w:numPr>
        <w:pBdr>
          <w:top w:space="0" w:sz="0" w:val="nil"/>
          <w:left w:space="0" w:sz="0" w:val="nil"/>
          <w:bottom w:space="0" w:sz="0" w:val="nil"/>
          <w:right w:space="0" w:sz="0" w:val="nil"/>
          <w:between w:space="0" w:sz="0" w:val="nil"/>
        </w:pBdr>
        <w:ind w:left="720" w:hanging="360"/>
        <w:rPr>
          <w:rFonts w:ascii="Arial" w:cs="Arial" w:eastAsia="Arial" w:hAnsi="Arial"/>
          <w:color w:val="000000"/>
          <w:sz w:val="24"/>
          <w:szCs w:val="24"/>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Fonts w:ascii="Arial" w:cs="Arial" w:eastAsia="Arial" w:hAnsi="Arial"/>
          <w:color w:val="000000"/>
          <w:sz w:val="24"/>
          <w:szCs w:val="24"/>
          <w:rtl w:val="0"/>
        </w:rPr>
        <w:t xml:space="preserve">Environmental Characteristics </w:t>
      </w:r>
    </w:p>
    <w:p w:rsidR="00000000" w:rsidDel="00000000" w:rsidP="00000000" w:rsidRDefault="00000000" w:rsidRPr="00000000" w14:paraId="0000009B">
      <w:pPr>
        <w:widowControl w:val="1"/>
        <w:pBdr>
          <w:top w:space="0" w:sz="0" w:val="nil"/>
          <w:left w:space="0" w:sz="0" w:val="nil"/>
          <w:bottom w:space="0" w:sz="0" w:val="nil"/>
          <w:right w:space="0" w:sz="0" w:val="nil"/>
          <w:between w:space="0" w:sz="0" w:val="nil"/>
        </w:pBdr>
        <w:jc w:val="both"/>
        <w:rPr>
          <w:rFonts w:ascii="Arial" w:cs="Arial" w:eastAsia="Arial" w:hAnsi="Arial"/>
          <w:color w:val="ffffff"/>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 w:name="Courier New"/>
  <w:font w:name="Arial Bold"/>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1">
    <w:pPr>
      <w:widowControl w:val="1"/>
      <w:pBdr>
        <w:top w:space="0" w:sz="0" w:val="nil"/>
        <w:left w:space="0" w:sz="0" w:val="nil"/>
        <w:bottom w:space="0" w:sz="0" w:val="nil"/>
        <w:right w:space="0" w:sz="0" w:val="nil"/>
        <w:between w:space="0" w:sz="0" w:val="nil"/>
      </w:pBdr>
      <w:tabs>
        <w:tab w:val="center" w:pos="4513"/>
        <w:tab w:val="right" w:pos="9026"/>
      </w:tabs>
      <w:jc w:val="both"/>
      <w:rPr>
        <w:color w:val="000000"/>
      </w:rPr>
    </w:pPr>
    <w:r w:rsidDel="00000000" w:rsidR="00000000" w:rsidRPr="00000000">
      <w:rPr>
        <w:rtl w:val="0"/>
      </w:rPr>
    </w:r>
  </w:p>
  <w:p w:rsidR="00000000" w:rsidDel="00000000" w:rsidP="00000000" w:rsidRDefault="00000000" w:rsidRPr="00000000" w14:paraId="000000A2">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r>
  </w:p>
  <w:p w:rsidR="00000000" w:rsidDel="00000000" w:rsidP="00000000" w:rsidRDefault="00000000" w:rsidRPr="00000000" w14:paraId="000000A3">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4">
    <w:pPr>
      <w:tabs>
        <w:tab w:val="left" w:pos="720"/>
        <w:tab w:val="left" w:pos="1440"/>
        <w:tab w:val="left" w:pos="2160"/>
        <w:tab w:val="left" w:pos="2880"/>
        <w:tab w:val="left" w:pos="3600"/>
        <w:tab w:val="center"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5">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RM6226  Debt Resolution Services</w:t>
      <w:tab/>
      <w:t xml:space="preserve">                                           </w:t>
    </w:r>
  </w:p>
  <w:p w:rsidR="00000000" w:rsidDel="00000000" w:rsidP="00000000" w:rsidRDefault="00000000" w:rsidRPr="00000000" w14:paraId="000000A6">
    <w:pPr>
      <w:widowControl w:val="1"/>
      <w:pBdr>
        <w:top w:space="0" w:sz="0" w:val="nil"/>
        <w:left w:space="0" w:sz="0" w:val="nil"/>
        <w:bottom w:space="0" w:sz="0" w:val="nil"/>
        <w:right w:space="0" w:sz="0" w:val="nil"/>
        <w:between w:space="0" w:sz="0" w:val="nil"/>
      </w:pBdr>
      <w:tabs>
        <w:tab w:val="center" w:pos="4513"/>
        <w:tab w:val="right" w:pos="9026"/>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7">
    <w:pPr>
      <w:tabs>
        <w:tab w:val="left" w:pos="720"/>
        <w:tab w:val="left" w:pos="1440"/>
        <w:tab w:val="left" w:pos="2160"/>
        <w:tab w:val="left" w:pos="2880"/>
        <w:tab w:val="left" w:pos="3600"/>
        <w:tab w:val="center"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v3.1</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C">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Framework Schedule 7 (Call-Off Award Procedure)</w:t>
    </w:r>
  </w:p>
  <w:p w:rsidR="00000000" w:rsidDel="00000000" w:rsidP="00000000" w:rsidRDefault="00000000" w:rsidRPr="00000000" w14:paraId="0000009D">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2018</w:t>
    </w:r>
  </w:p>
  <w:p w:rsidR="00000000" w:rsidDel="00000000" w:rsidP="00000000" w:rsidRDefault="00000000" w:rsidRPr="00000000" w14:paraId="0000009E">
    <w:pPr>
      <w:widowControl w:val="1"/>
      <w:pBdr>
        <w:top w:space="0" w:sz="0" w:val="nil"/>
        <w:left w:space="0" w:sz="0" w:val="nil"/>
        <w:bottom w:space="0" w:sz="0" w:val="nil"/>
        <w:right w:space="0" w:sz="0" w:val="nil"/>
        <w:between w:space="0" w:sz="0" w:val="nil"/>
      </w:pBdr>
      <w:tabs>
        <w:tab w:val="center" w:pos="4513"/>
        <w:tab w:val="right" w:pos="9026"/>
      </w:tabs>
      <w:jc w:val="both"/>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F">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7 (Call-Off Award Procedure)</w:t>
    </w:r>
  </w:p>
  <w:p w:rsidR="00000000" w:rsidDel="00000000" w:rsidP="00000000" w:rsidRDefault="00000000" w:rsidRPr="00000000" w14:paraId="000000A0">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rPr/>
    </w:lvl>
    <w:lvl w:ilvl="7">
      <w:start w:val="1"/>
      <w:numFmt w:val="decimal"/>
      <w:lvlText w:val="%1.%2.%3.%4.%5.%6.%7.%8"/>
      <w:lvlJc w:val="left"/>
      <w:pPr>
        <w:ind w:left="2520" w:hanging="1440"/>
      </w:pPr>
      <w:rPr/>
    </w:lvl>
    <w:lvl w:ilvl="8">
      <w:start w:val="1"/>
      <w:numFmt w:val="decimal"/>
      <w:lvlText w:val="%1.%2.%3.%4.%5.%6.%7.%8.%9"/>
      <w:lvlJc w:val="left"/>
      <w:pPr>
        <w:ind w:left="2880" w:hanging="1800"/>
      </w:pPr>
      <w:rPr/>
    </w:lvl>
  </w:abstractNum>
  <w:abstractNum w:abstractNumId="2">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532FDD"/>
    <w:pPr>
      <w:keepNext w:val="1"/>
      <w:keepLines w:val="1"/>
      <w:spacing w:before="240"/>
      <w:outlineLvl w:val="0"/>
    </w:pPr>
    <w:rPr>
      <w:rFonts w:asciiTheme="majorHAnsi" w:cstheme="majorBidi" w:eastAsiaTheme="majorEastAsia" w:hAnsiTheme="majorHAnsi"/>
      <w:color w:val="2f5496" w:themeColor="accent1" w:themeShade="0000BF"/>
      <w:sz w:val="32"/>
      <w:szCs w:val="32"/>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tandard" w:customStyle="1">
    <w:name w:val="Standard"/>
    <w:pPr>
      <w:widowControl w:val="1"/>
      <w:spacing w:after="240"/>
      <w:jc w:val="both"/>
    </w:pPr>
    <w:rPr>
      <w:rFonts w:cs="Arial" w:eastAsia="Times New Roman"/>
    </w:rPr>
  </w:style>
  <w:style w:type="paragraph" w:styleId="Heading" w:customStyle="1">
    <w:name w:val="Heading"/>
    <w:basedOn w:val="Standard"/>
    <w:next w:val="Textbody"/>
    <w:pPr>
      <w:keepNext w:val="1"/>
      <w:spacing w:after="120" w:before="240"/>
    </w:pPr>
    <w:rPr>
      <w:rFonts w:ascii="Liberation Sans" w:cs="Arial Unicode MS" w:eastAsia="Arial Unicode MS" w:hAnsi="Liberation Sans"/>
      <w:sz w:val="28"/>
      <w:szCs w:val="28"/>
    </w:rPr>
  </w:style>
  <w:style w:type="paragraph" w:styleId="Textbody" w:customStyle="1">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val="1"/>
      <w:spacing w:after="120" w:before="120"/>
    </w:pPr>
    <w:rPr>
      <w:i w:val="1"/>
      <w:iCs w:val="1"/>
      <w:sz w:val="24"/>
      <w:szCs w:val="24"/>
    </w:rPr>
  </w:style>
  <w:style w:type="paragraph" w:styleId="Index" w:customStyle="1">
    <w:name w:val="Index"/>
    <w:basedOn w:val="Standard"/>
    <w:pPr>
      <w:suppressLineNumbers w:val="1"/>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styleId="MarginText" w:customStyle="1">
    <w:name w:val="Margin Text"/>
    <w:basedOn w:val="Standard"/>
    <w:pPr>
      <w:keepNext w:val="1"/>
      <w:overflowPunct w:val="0"/>
      <w:spacing w:after="120" w:before="240"/>
      <w:ind w:left="142"/>
    </w:pPr>
    <w:rPr>
      <w:rFonts w:cs="Times New Roman" w:eastAsia="STZhongsong"/>
      <w:szCs w:val="18"/>
      <w:lang w:eastAsia="zh-CN"/>
    </w:rPr>
  </w:style>
  <w:style w:type="paragraph" w:styleId="GPSL1CLAUSEHEADING" w:customStyle="1">
    <w:name w:val="GPS L1 CLAUSE HEADING"/>
    <w:basedOn w:val="Standard"/>
    <w:next w:val="Standard"/>
    <w:pPr>
      <w:tabs>
        <w:tab w:val="left" w:pos="142"/>
      </w:tabs>
      <w:overflowPunct w:val="0"/>
      <w:spacing w:before="120"/>
      <w:outlineLvl w:val="1"/>
    </w:pPr>
    <w:rPr>
      <w:rFonts w:eastAsia="STZhongsong"/>
      <w:b w:val="1"/>
      <w:caps w:val="1"/>
      <w:lang w:eastAsia="zh-CN"/>
    </w:rPr>
  </w:style>
  <w:style w:type="paragraph" w:styleId="GPSL3numberedclause" w:customStyle="1">
    <w:name w:val="GPS L3 numbered clause"/>
    <w:basedOn w:val="Standard"/>
    <w:pPr>
      <w:tabs>
        <w:tab w:val="left" w:pos="3641"/>
      </w:tabs>
      <w:overflowPunct w:val="0"/>
      <w:spacing w:after="120" w:before="120"/>
      <w:ind w:left="1656"/>
    </w:pPr>
    <w:rPr>
      <w:lang w:eastAsia="zh-CN"/>
    </w:rPr>
  </w:style>
  <w:style w:type="paragraph" w:styleId="GPSL4numberedclause" w:customStyle="1">
    <w:name w:val="GPS L4 numbered clause"/>
    <w:basedOn w:val="GPSL3numberedclause"/>
    <w:pPr>
      <w:tabs>
        <w:tab w:val="clear" w:pos="3641"/>
      </w:tabs>
      <w:ind w:left="2592" w:hanging="936"/>
    </w:pPr>
  </w:style>
  <w:style w:type="paragraph" w:styleId="GPSL5numberedclause" w:customStyle="1">
    <w:name w:val="GPS L5 numbered clause"/>
    <w:basedOn w:val="GPSL4numberedclause"/>
    <w:pPr>
      <w:tabs>
        <w:tab w:val="left" w:pos="6238"/>
      </w:tabs>
      <w:ind w:left="3119" w:hanging="567"/>
    </w:pPr>
  </w:style>
  <w:style w:type="paragraph" w:styleId="GPSL2NumberedBoldHeading" w:customStyle="1">
    <w:name w:val="GPS L2 Numbered Bold Heading"/>
    <w:basedOn w:val="Standard"/>
    <w:pPr>
      <w:tabs>
        <w:tab w:val="left" w:pos="3054"/>
      </w:tabs>
      <w:overflowPunct w:val="0"/>
      <w:spacing w:after="120" w:before="120"/>
      <w:ind w:left="1920"/>
    </w:pPr>
    <w:rPr>
      <w:b w:val="1"/>
      <w:lang w:eastAsia="zh-CN"/>
    </w:rPr>
  </w:style>
  <w:style w:type="paragraph" w:styleId="GPSL6numbered" w:customStyle="1">
    <w:name w:val="GPS L6 numbered"/>
    <w:basedOn w:val="GPSL5numberedclause"/>
    <w:pPr>
      <w:tabs>
        <w:tab w:val="clear" w:pos="6238"/>
        <w:tab w:val="left" w:pos="4046"/>
        <w:tab w:val="left" w:pos="7372"/>
      </w:tabs>
      <w:ind w:left="3686"/>
    </w:pPr>
  </w:style>
  <w:style w:type="paragraph" w:styleId="GPSL1Guidance" w:customStyle="1">
    <w:name w:val="GPS L1 Guidance"/>
    <w:basedOn w:val="Standard"/>
    <w:pPr>
      <w:spacing w:after="120" w:before="240"/>
      <w:ind w:left="426"/>
    </w:pPr>
    <w:rPr>
      <w:b w:val="1"/>
      <w:i w:val="1"/>
    </w:rPr>
  </w:style>
  <w:style w:type="paragraph" w:styleId="GPSL1SCHEDULEHeading" w:customStyle="1">
    <w:name w:val="GPS L1 SCHEDULE Heading"/>
    <w:basedOn w:val="GPSL1CLAUSEHEADING"/>
    <w:pPr>
      <w:tabs>
        <w:tab w:val="clear" w:pos="142"/>
      </w:tabs>
    </w:pPr>
  </w:style>
  <w:style w:type="paragraph" w:styleId="GPSmacrorestart" w:customStyle="1">
    <w:name w:val="GPS macro restart"/>
    <w:basedOn w:val="Standard"/>
    <w:qFormat w:val="1"/>
    <w:pPr>
      <w:spacing w:after="0"/>
    </w:pPr>
    <w:rPr>
      <w:color w:val="ffffff"/>
      <w:sz w:val="16"/>
      <w:szCs w:val="16"/>
    </w:rPr>
  </w:style>
  <w:style w:type="paragraph" w:styleId="GPSSchTitleandNumber" w:customStyle="1">
    <w:name w:val="GPS Sch Title and Number"/>
    <w:basedOn w:val="Standard"/>
    <w:pPr>
      <w:keepNext w:val="1"/>
      <w:overflowPunct w:val="0"/>
      <w:ind w:firstLine="426"/>
      <w:jc w:val="center"/>
      <w:outlineLvl w:val="0"/>
    </w:pPr>
    <w:rPr>
      <w:rFonts w:ascii="Arial Bold" w:cs="Times New Roman" w:eastAsia="STZhongsong" w:hAnsi="Arial Bold"/>
      <w:b w:val="1"/>
      <w:caps w:val="1"/>
      <w:lang w:eastAsia="zh-CN"/>
    </w:rPr>
  </w:style>
  <w:style w:type="paragraph" w:styleId="GPSSchPart" w:customStyle="1">
    <w:name w:val="GPS Sch Part"/>
    <w:basedOn w:val="Standard"/>
    <w:qFormat w:val="1"/>
    <w:pPr>
      <w:keepNext w:val="1"/>
      <w:overflowPunct w:val="0"/>
      <w:spacing w:before="240"/>
      <w:ind w:firstLine="426"/>
      <w:jc w:val="center"/>
    </w:pPr>
    <w:rPr>
      <w:rFonts w:ascii="Arial Bold" w:cs="Times New Roman" w:eastAsia="STZhongsong" w:hAnsi="Arial Bold"/>
      <w:b w:val="1"/>
      <w:caps w:val="1"/>
      <w:lang w:eastAsia="zh-CN"/>
    </w:rPr>
  </w:style>
  <w:style w:type="paragraph" w:styleId="GPSL2Numbered" w:customStyle="1">
    <w:name w:val="GPS L2 Numbered"/>
    <w:basedOn w:val="GPSL2NumberedBoldHeading"/>
    <w:pPr>
      <w:tabs>
        <w:tab w:val="clear" w:pos="3054"/>
      </w:tabs>
      <w:ind w:left="936" w:hanging="576"/>
    </w:pPr>
    <w:rPr>
      <w:b w:val="0"/>
    </w:rPr>
  </w:style>
  <w:style w:type="paragraph" w:styleId="GPSL1Schedulenumbered" w:customStyle="1">
    <w:name w:val="GPS L1 Schedule numbered"/>
    <w:basedOn w:val="Standard"/>
    <w:qFormat w:val="1"/>
    <w:pPr>
      <w:tabs>
        <w:tab w:val="left" w:pos="851"/>
      </w:tabs>
    </w:pPr>
  </w:style>
  <w:style w:type="paragraph" w:styleId="BalloonText">
    <w:name w:val="Balloon Text"/>
    <w:basedOn w:val="Standard"/>
    <w:pPr>
      <w:spacing w:after="0"/>
    </w:pPr>
    <w:rPr>
      <w:rFonts w:ascii="Tahoma" w:cs="Tahoma" w:eastAsia="Tahoma" w:hAnsi="Tahoma"/>
      <w:sz w:val="16"/>
      <w:szCs w:val="16"/>
    </w:rPr>
  </w:style>
  <w:style w:type="paragraph" w:styleId="GPSL2Guidance" w:customStyle="1">
    <w:name w:val="GPS L2 Guidance"/>
    <w:basedOn w:val="Standard"/>
    <w:pPr>
      <w:tabs>
        <w:tab w:val="left" w:pos="2268"/>
      </w:tabs>
      <w:overflowPunct w:val="0"/>
      <w:spacing w:after="120" w:before="120"/>
      <w:ind w:left="1134"/>
    </w:pPr>
    <w:rPr>
      <w:b w:val="1"/>
      <w:i w:val="1"/>
      <w:lang w:eastAsia="zh-CN"/>
    </w:rPr>
  </w:style>
  <w:style w:type="paragraph" w:styleId="GPSL2Indent" w:customStyle="1">
    <w:name w:val="GPS L2 Indent"/>
    <w:basedOn w:val="Standard"/>
    <w:pPr>
      <w:tabs>
        <w:tab w:val="left" w:pos="4536"/>
      </w:tabs>
      <w:spacing w:after="220"/>
      <w:ind w:left="1134"/>
    </w:pPr>
    <w:rPr>
      <w:szCs w:val="24"/>
    </w:rPr>
  </w:style>
  <w:style w:type="paragraph" w:styleId="GPSL4Guidance" w:customStyle="1">
    <w:name w:val="GPS L4 Guidance"/>
    <w:basedOn w:val="Standard"/>
    <w:pPr>
      <w:tabs>
        <w:tab w:val="left" w:pos="3970"/>
      </w:tabs>
      <w:overflowPunct w:val="0"/>
      <w:spacing w:after="120" w:before="120"/>
      <w:ind w:left="1985"/>
    </w:pPr>
    <w:rPr>
      <w:b w:val="1"/>
      <w:i w:val="1"/>
      <w:lang w:eastAsia="zh-CN"/>
    </w:rPr>
  </w:style>
  <w:style w:type="paragraph" w:styleId="GPSL2non-numberboldheading" w:customStyle="1">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val="1"/>
      <w:bCs w:val="1"/>
    </w:rPr>
  </w:style>
  <w:style w:type="character" w:styleId="HeaderChar" w:customStyle="1">
    <w:name w:val="Header Char"/>
    <w:basedOn w:val="DefaultParagraphFont"/>
  </w:style>
  <w:style w:type="character" w:styleId="FooterChar" w:customStyle="1">
    <w:name w:val="Footer Char"/>
    <w:basedOn w:val="DefaultParagraphFont"/>
    <w:uiPriority w:val="99"/>
  </w:style>
  <w:style w:type="character" w:styleId="Emphasis">
    <w:name w:val="Emphasis"/>
    <w:basedOn w:val="DefaultParagraphFont"/>
    <w:rPr>
      <w:i w:val="1"/>
      <w:iCs w:val="1"/>
    </w:rPr>
  </w:style>
  <w:style w:type="character" w:styleId="MarginTextChar" w:customStyle="1">
    <w:name w:val="Margin Text Char"/>
    <w:rPr>
      <w:rFonts w:ascii="Calibri" w:cs="Times New Roman" w:eastAsia="STZhongsong" w:hAnsi="Calibri"/>
      <w:szCs w:val="18"/>
      <w:lang w:eastAsia="zh-CN"/>
    </w:rPr>
  </w:style>
  <w:style w:type="character" w:styleId="GPSL2NumberedChar" w:customStyle="1">
    <w:name w:val="GPS L2 Numbered Char"/>
    <w:rPr>
      <w:rFonts w:ascii="Calibri" w:cs="Arial" w:eastAsia="Times New Roman" w:hAnsi="Calibri"/>
      <w:lang w:eastAsia="zh-CN"/>
    </w:rPr>
  </w:style>
  <w:style w:type="character" w:styleId="GPSL1SCHEDULEHeadingChar" w:customStyle="1">
    <w:name w:val="GPS L1 SCHEDULE Heading Char"/>
    <w:rPr>
      <w:rFonts w:ascii="Calibri" w:cs="Arial" w:eastAsia="STZhongsong" w:hAnsi="Calibri"/>
      <w:b w:val="1"/>
      <w:caps w:val="1"/>
      <w:lang w:eastAsia="zh-CN"/>
    </w:rPr>
  </w:style>
  <w:style w:type="character" w:styleId="GPSL1SchedulenumberedChar1" w:customStyle="1">
    <w:name w:val="GPS L1 Schedule numbered Char1"/>
    <w:rPr>
      <w:rFonts w:ascii="Calibri" w:cs="Arial" w:eastAsia="Times New Roman" w:hAnsi="Calibri"/>
    </w:rPr>
  </w:style>
  <w:style w:type="character" w:styleId="GPSL1GuidanceChar" w:customStyle="1">
    <w:name w:val="GPS L1 Guidance Char"/>
    <w:rPr>
      <w:rFonts w:ascii="Calibri" w:cs="Arial" w:eastAsia="Times New Roman" w:hAnsi="Calibri"/>
      <w:b w:val="1"/>
      <w:i w:val="1"/>
    </w:rPr>
  </w:style>
  <w:style w:type="character" w:styleId="GPSSchTitleandNumberChar" w:customStyle="1">
    <w:name w:val="GPS Sch Title and Number Char"/>
    <w:rPr>
      <w:rFonts w:ascii="Arial Bold" w:cs="Times New Roman" w:eastAsia="STZhongsong" w:hAnsi="Arial Bold"/>
      <w:b w:val="1"/>
      <w:caps w:val="1"/>
      <w:lang w:eastAsia="zh-CN"/>
    </w:rPr>
  </w:style>
  <w:style w:type="character" w:styleId="GPSSchPartChar" w:customStyle="1">
    <w:name w:val="GPS Sch Part Char"/>
    <w:rPr>
      <w:rFonts w:ascii="Arial Bold" w:cs="Times New Roman" w:eastAsia="STZhongsong" w:hAnsi="Arial Bold"/>
      <w:b w:val="1"/>
      <w:caps w:val="1"/>
      <w:lang w:eastAsia="zh-CN"/>
    </w:rPr>
  </w:style>
  <w:style w:type="character" w:styleId="BalloonTextChar" w:customStyle="1">
    <w:name w:val="Balloon Text Char"/>
    <w:basedOn w:val="DefaultParagraphFont"/>
    <w:rPr>
      <w:rFonts w:ascii="Tahoma" w:cs="Tahoma" w:eastAsia="Times New Roman" w:hAnsi="Tahoma"/>
      <w:sz w:val="16"/>
      <w:szCs w:val="16"/>
    </w:rPr>
  </w:style>
  <w:style w:type="character" w:styleId="GPSL4numberedclauseChar" w:customStyle="1">
    <w:name w:val="GPS L4 numbered clause Char"/>
    <w:rPr>
      <w:rFonts w:ascii="Calibri" w:cs="Arial" w:eastAsia="Times New Roman" w:hAnsi="Calibri"/>
      <w:lang w:eastAsia="zh-CN"/>
    </w:rPr>
  </w:style>
  <w:style w:type="character" w:styleId="GPSL3numberedclauseChar" w:customStyle="1">
    <w:name w:val="GPS L3 numbered clause Char"/>
    <w:rPr>
      <w:rFonts w:ascii="Calibri" w:cs="Arial" w:eastAsia="Times New Roman" w:hAnsi="Calibri"/>
      <w:lang w:eastAsia="zh-CN"/>
    </w:rPr>
  </w:style>
  <w:style w:type="character" w:styleId="GPSL5numberedclauseChar" w:customStyle="1">
    <w:name w:val="GPS L5 numbered clause Char"/>
    <w:rPr>
      <w:rFonts w:ascii="Calibri" w:cs="Arial" w:eastAsia="Times New Roman" w:hAnsi="Calibri"/>
      <w:lang w:eastAsia="zh-CN"/>
    </w:rPr>
  </w:style>
  <w:style w:type="character" w:styleId="GPSL4GuidanceChar" w:customStyle="1">
    <w:name w:val="GPS L4 Guidance Char"/>
    <w:rPr>
      <w:rFonts w:ascii="Calibri" w:cs="Arial" w:eastAsia="Times New Roman" w:hAnsi="Calibri"/>
      <w:b w:val="1"/>
      <w:i w:val="1"/>
      <w:lang w:eastAsia="zh-CN"/>
    </w:rPr>
  </w:style>
  <w:style w:type="character" w:styleId="GPSL2non-numberboldheadingChar" w:customStyle="1">
    <w:name w:val="GPS L2 non-number bold heading Char"/>
    <w:rPr>
      <w:rFonts w:ascii="Calibri" w:cs="Arial" w:eastAsia="Times New Roman" w:hAnsi="Calibri"/>
      <w:b w:val="1"/>
      <w:lang w:eastAsia="zh-CN"/>
    </w:rPr>
  </w:style>
  <w:style w:type="character" w:styleId="GPSL2IndentChar" w:customStyle="1">
    <w:name w:val="GPS L2 Indent Char"/>
    <w:rPr>
      <w:rFonts w:ascii="Calibri" w:cs="Arial" w:eastAsia="Times New Roman" w:hAnsi="Calibri"/>
      <w:szCs w:val="24"/>
    </w:rPr>
  </w:style>
  <w:style w:type="character" w:styleId="GPSL2GuidanceChar" w:customStyle="1">
    <w:name w:val="GPS L2 Guidance Char"/>
    <w:rPr>
      <w:rFonts w:ascii="Calibri" w:cs="Arial" w:eastAsia="Times New Roman" w:hAnsi="Calibri"/>
      <w:b w:val="1"/>
      <w:i w:val="1"/>
      <w:lang w:eastAsia="zh-CN"/>
    </w:rPr>
  </w:style>
  <w:style w:type="character" w:styleId="CommentReference">
    <w:name w:val="annotation reference"/>
    <w:basedOn w:val="DefaultParagraphFont"/>
    <w:rPr>
      <w:sz w:val="16"/>
      <w:szCs w:val="16"/>
    </w:rPr>
  </w:style>
  <w:style w:type="character" w:styleId="CommentTextChar" w:customStyle="1">
    <w:name w:val="Comment Text Char"/>
    <w:basedOn w:val="DefaultParagraphFont"/>
    <w:rPr>
      <w:rFonts w:ascii="Calibri" w:cs="Arial" w:eastAsia="Times New Roman" w:hAnsi="Calibri"/>
      <w:sz w:val="20"/>
      <w:szCs w:val="20"/>
    </w:rPr>
  </w:style>
  <w:style w:type="character" w:styleId="CommentSubjectChar" w:customStyle="1">
    <w:name w:val="Comment Subject Char"/>
    <w:basedOn w:val="CommentTextChar"/>
    <w:rPr>
      <w:rFonts w:ascii="Calibri" w:cs="Arial" w:eastAsia="Times New Roman" w:hAnsi="Calibri"/>
      <w:b w:val="1"/>
      <w:bCs w:val="1"/>
      <w:sz w:val="20"/>
      <w:szCs w:val="20"/>
    </w:rPr>
  </w:style>
  <w:style w:type="character" w:styleId="ListLabel1" w:customStyle="1">
    <w:name w:val="ListLabel 1"/>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 w:customStyle="1">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 w:customStyle="1">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 w:customStyle="1">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 w:customStyle="1">
    <w:name w:val="ListLabel 5"/>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 w:customStyle="1">
    <w:name w:val="ListLabel 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 w:customStyle="1">
    <w:name w:val="ListLabel 7"/>
    <w:rPr>
      <w:rFonts w:cs="Times New Roman"/>
    </w:rPr>
  </w:style>
  <w:style w:type="character" w:styleId="ListLabel8" w:customStyle="1">
    <w:name w:val="ListLabel 8"/>
    <w:rPr>
      <w:rFonts w:cs="Times New Roman"/>
    </w:rPr>
  </w:style>
  <w:style w:type="character" w:styleId="ListLabel9" w:customStyle="1">
    <w:name w:val="ListLabel 9"/>
    <w:rPr>
      <w:rFonts w:cs="Times New Roman"/>
    </w:rPr>
  </w:style>
  <w:style w:type="character" w:styleId="ListLabel10" w:customStyle="1">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11" w:customStyle="1">
    <w:name w:val="ListLabel 11"/>
    <w:rPr>
      <w:rFonts w:cs="Times New Roman"/>
    </w:rPr>
  </w:style>
  <w:style w:type="character" w:styleId="ListLabel12" w:customStyle="1">
    <w:name w:val="ListLabel 12"/>
    <w:rPr>
      <w:rFonts w:cs="Times New Roman"/>
    </w:rPr>
  </w:style>
  <w:style w:type="character" w:styleId="ListLabel13" w:customStyle="1">
    <w:name w:val="ListLabel 13"/>
    <w:rPr>
      <w:rFonts w:cs="Times New Roman"/>
    </w:rPr>
  </w:style>
  <w:style w:type="character" w:styleId="ListLabel14" w:customStyle="1">
    <w:name w:val="ListLabel 14"/>
    <w:rPr>
      <w:rFonts w:cs="Times New Roman"/>
    </w:rPr>
  </w:style>
  <w:style w:type="character" w:styleId="ListLabel15" w:customStyle="1">
    <w:name w:val="ListLabel 15"/>
    <w:rPr>
      <w:rFonts w:cs="Times New Roman"/>
    </w:rPr>
  </w:style>
  <w:style w:type="character" w:styleId="ListLabel16" w:customStyle="1">
    <w:name w:val="ListLabel 16"/>
    <w:rPr>
      <w:rFonts w:cs="Times New Roman"/>
    </w:rPr>
  </w:style>
  <w:style w:type="character" w:styleId="ListLabel17" w:customStyle="1">
    <w:name w:val="ListLabel 17"/>
    <w:rPr>
      <w:rFonts w:cs="Times New Roman"/>
    </w:rPr>
  </w:style>
  <w:style w:type="character" w:styleId="ListLabel18" w:customStyle="1">
    <w:name w:val="ListLabel 18"/>
    <w:rPr>
      <w:rFonts w:cs="Times New Roman"/>
    </w:rPr>
  </w:style>
  <w:style w:type="character" w:styleId="ListLabel19" w:customStyle="1">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0" w:customStyle="1">
    <w:name w:val="ListLabel 20"/>
    <w:rPr>
      <w:rFonts w:cs="Times New Roman"/>
    </w:rPr>
  </w:style>
  <w:style w:type="character" w:styleId="ListLabel21" w:customStyle="1">
    <w:name w:val="ListLabel 21"/>
    <w:rPr>
      <w:rFonts w:cs="Times New Roman"/>
    </w:rPr>
  </w:style>
  <w:style w:type="character" w:styleId="ListLabel22" w:customStyle="1">
    <w:name w:val="ListLabel 22"/>
    <w:rPr>
      <w:rFonts w:cs="Times New Roman"/>
    </w:rPr>
  </w:style>
  <w:style w:type="character" w:styleId="ListLabel23" w:customStyle="1">
    <w:name w:val="ListLabel 23"/>
    <w:rPr>
      <w:rFonts w:cs="Times New Roman"/>
    </w:rPr>
  </w:style>
  <w:style w:type="character" w:styleId="ListLabel24" w:customStyle="1">
    <w:name w:val="ListLabel 24"/>
    <w:rPr>
      <w:rFonts w:cs="Times New Roman"/>
    </w:rPr>
  </w:style>
  <w:style w:type="character" w:styleId="ListLabel25" w:customStyle="1">
    <w:name w:val="ListLabel 25"/>
    <w:rPr>
      <w:rFonts w:cs="Times New Roman"/>
    </w:rPr>
  </w:style>
  <w:style w:type="character" w:styleId="ListLabel26" w:customStyle="1">
    <w:name w:val="ListLabel 26"/>
    <w:rPr>
      <w:rFonts w:cs="Times New Roman"/>
    </w:rPr>
  </w:style>
  <w:style w:type="character" w:styleId="ListLabel27" w:customStyle="1">
    <w:name w:val="ListLabel 27"/>
    <w:rPr>
      <w:rFonts w:cs="Times New Roman"/>
    </w:rPr>
  </w:style>
  <w:style w:type="character" w:styleId="ListLabel28" w:customStyle="1">
    <w:name w:val="ListLabel 28"/>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9" w:customStyle="1">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0" w:customStyle="1">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1" w:customStyle="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2" w:customStyle="1">
    <w:name w:val="ListLabel 3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3" w:customStyle="1">
    <w:name w:val="ListLabel 33"/>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4" w:customStyle="1">
    <w:name w:val="ListLabel 34"/>
    <w:rPr>
      <w:rFonts w:cs="Times New Roman"/>
    </w:rPr>
  </w:style>
  <w:style w:type="character" w:styleId="ListLabel35" w:customStyle="1">
    <w:name w:val="ListLabel 35"/>
    <w:rPr>
      <w:rFonts w:cs="Times New Roman"/>
    </w:rPr>
  </w:style>
  <w:style w:type="character" w:styleId="ListLabel36" w:customStyle="1">
    <w:name w:val="ListLabel 36"/>
    <w:rPr>
      <w:rFonts w:cs="Times New Roman"/>
    </w:rPr>
  </w:style>
  <w:style w:type="character" w:styleId="ListLabel37" w:customStyle="1">
    <w:name w:val="ListLabel 37"/>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8" w:customStyle="1">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9" w:customStyle="1">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0" w:customStyle="1">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1" w:customStyle="1">
    <w:name w:val="ListLabel 4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2" w:customStyle="1">
    <w:name w:val="ListLabel 4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3" w:customStyle="1">
    <w:name w:val="ListLabel 43"/>
    <w:rPr>
      <w:rFonts w:cs="Times New Roman"/>
    </w:rPr>
  </w:style>
  <w:style w:type="character" w:styleId="ListLabel44" w:customStyle="1">
    <w:name w:val="ListLabel 44"/>
    <w:rPr>
      <w:rFonts w:cs="Times New Roman"/>
    </w:rPr>
  </w:style>
  <w:style w:type="character" w:styleId="ListLabel45" w:customStyle="1">
    <w:name w:val="ListLabel 45"/>
    <w:rPr>
      <w:rFonts w:cs="Times New Roman"/>
    </w:rPr>
  </w:style>
  <w:style w:type="character" w:styleId="ListLabel46" w:customStyle="1">
    <w:name w:val="ListLabel 46"/>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7" w:customStyle="1">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8" w:customStyle="1">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9" w:customStyle="1">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0" w:customStyle="1">
    <w:name w:val="ListLabel 5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1" w:customStyle="1">
    <w:name w:val="ListLabel 5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2" w:customStyle="1">
    <w:name w:val="ListLabel 52"/>
    <w:rPr>
      <w:rFonts w:cs="Times New Roman"/>
    </w:rPr>
  </w:style>
  <w:style w:type="character" w:styleId="ListLabel53" w:customStyle="1">
    <w:name w:val="ListLabel 53"/>
    <w:rPr>
      <w:rFonts w:cs="Times New Roman"/>
    </w:rPr>
  </w:style>
  <w:style w:type="character" w:styleId="ListLabel54" w:customStyle="1">
    <w:name w:val="ListLabel 54"/>
    <w:rPr>
      <w:rFonts w:cs="Times New Roman"/>
    </w:rPr>
  </w:style>
  <w:style w:type="character" w:styleId="ListLabel55" w:customStyle="1">
    <w:name w:val="ListLabel 55"/>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6" w:customStyle="1">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7" w:customStyle="1">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8" w:customStyle="1">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9" w:customStyle="1">
    <w:name w:val="ListLabel 59"/>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0" w:customStyle="1">
    <w:name w:val="ListLabel 6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1" w:customStyle="1">
    <w:name w:val="ListLabel 61"/>
    <w:rPr>
      <w:rFonts w:cs="Times New Roman"/>
    </w:rPr>
  </w:style>
  <w:style w:type="character" w:styleId="ListLabel62" w:customStyle="1">
    <w:name w:val="ListLabel 62"/>
    <w:rPr>
      <w:rFonts w:cs="Times New Roman"/>
    </w:rPr>
  </w:style>
  <w:style w:type="character" w:styleId="ListLabel63" w:customStyle="1">
    <w:name w:val="ListLabel 63"/>
    <w:rPr>
      <w:rFonts w:cs="Times New Roman"/>
    </w:rPr>
  </w:style>
  <w:style w:type="character" w:styleId="ListLabel64" w:customStyle="1">
    <w:name w:val="ListLabel 64"/>
    <w:rPr>
      <w:rFonts w:cs="Courier New"/>
      <w:b w:val="0"/>
    </w:rPr>
  </w:style>
  <w:style w:type="character" w:styleId="ListLabel65" w:customStyle="1">
    <w:name w:val="ListLabel 65"/>
    <w:rPr>
      <w:rFonts w:cs="Courier New"/>
    </w:rPr>
  </w:style>
  <w:style w:type="character" w:styleId="ListLabel66" w:customStyle="1">
    <w:name w:val="ListLabel 66"/>
    <w:rPr>
      <w:rFonts w:cs="Courier New"/>
    </w:rPr>
  </w:style>
  <w:style w:type="character" w:styleId="ListLabel67" w:customStyle="1">
    <w:name w:val="ListLabel 67"/>
    <w:rPr>
      <w:rFonts w:cs="Courier New"/>
    </w:rPr>
  </w:style>
  <w:style w:type="character" w:styleId="ListLabel68" w:customStyle="1">
    <w:name w:val="ListLabel 68"/>
    <w:rPr>
      <w:rFonts w:cs="Courier New"/>
    </w:rPr>
  </w:style>
  <w:style w:type="character" w:styleId="ListLabel69" w:customStyle="1">
    <w:name w:val="ListLabel 69"/>
    <w:rPr>
      <w:rFonts w:cs="Courier New"/>
    </w:rPr>
  </w:style>
  <w:style w:type="character" w:styleId="ListLabel70" w:customStyle="1">
    <w:name w:val="ListLabel 70"/>
    <w:rPr>
      <w:rFonts w:cs="Courier New"/>
    </w:rPr>
  </w:style>
  <w:style w:type="character" w:styleId="ListLabel71" w:customStyle="1">
    <w:name w:val="ListLabel 71"/>
    <w:rPr>
      <w:rFonts w:cs="Courier New"/>
    </w:rPr>
  </w:style>
  <w:style w:type="character" w:styleId="ListLabel72" w:customStyle="1">
    <w:name w:val="ListLabel 72"/>
    <w:rPr>
      <w:rFonts w:cs="Courier New"/>
    </w:rPr>
  </w:style>
  <w:style w:type="character" w:styleId="ListLabel73" w:customStyle="1">
    <w:name w:val="ListLabel 73"/>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4" w:customStyle="1">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5" w:customStyle="1">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6" w:customStyle="1">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7" w:customStyle="1">
    <w:name w:val="ListLabel 7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8" w:customStyle="1">
    <w:name w:val="ListLabel 78"/>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9" w:customStyle="1">
    <w:name w:val="ListLabel 79"/>
    <w:rPr>
      <w:rFonts w:cs="Times New Roman"/>
    </w:rPr>
  </w:style>
  <w:style w:type="character" w:styleId="ListLabel80" w:customStyle="1">
    <w:name w:val="ListLabel 80"/>
    <w:rPr>
      <w:rFonts w:cs="Times New Roman"/>
    </w:rPr>
  </w:style>
  <w:style w:type="character" w:styleId="ListLabel81" w:customStyle="1">
    <w:name w:val="ListLabel 81"/>
    <w:rPr>
      <w:rFonts w:cs="Times New Roman"/>
    </w:rPr>
  </w:style>
  <w:style w:type="character" w:styleId="ListLabel82" w:customStyle="1">
    <w:name w:val="ListLabel 82"/>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3" w:customStyle="1">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4" w:customStyle="1">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5" w:customStyle="1">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6" w:customStyle="1">
    <w:name w:val="ListLabel 8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7" w:customStyle="1">
    <w:name w:val="ListLabel 8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8" w:customStyle="1">
    <w:name w:val="ListLabel 88"/>
    <w:rPr>
      <w:rFonts w:cs="Times New Roman"/>
    </w:rPr>
  </w:style>
  <w:style w:type="character" w:styleId="ListLabel89" w:customStyle="1">
    <w:name w:val="ListLabel 89"/>
    <w:rPr>
      <w:rFonts w:cs="Times New Roman"/>
    </w:rPr>
  </w:style>
  <w:style w:type="character" w:styleId="ListLabel90" w:customStyle="1">
    <w:name w:val="ListLabel 90"/>
    <w:rPr>
      <w:rFonts w:cs="Times New Roman"/>
    </w:rPr>
  </w:style>
  <w:style w:type="numbering" w:styleId="NoList1" w:customStyle="1">
    <w:name w:val="No List_1"/>
    <w:basedOn w:val="NoList"/>
  </w:style>
  <w:style w:type="numbering" w:styleId="WWNum1" w:customStyle="1">
    <w:name w:val="WWNum1"/>
    <w:basedOn w:val="NoList"/>
  </w:style>
  <w:style w:type="numbering" w:styleId="WWNum2" w:customStyle="1">
    <w:name w:val="WWNum2"/>
    <w:basedOn w:val="NoList"/>
  </w:style>
  <w:style w:type="numbering" w:styleId="WWNum3" w:customStyle="1">
    <w:name w:val="WWNum3"/>
    <w:basedOn w:val="NoList"/>
  </w:style>
  <w:style w:type="numbering" w:styleId="WWNum4" w:customStyle="1">
    <w:name w:val="WWNum4"/>
    <w:basedOn w:val="NoList"/>
  </w:style>
  <w:style w:type="numbering" w:styleId="WWNum5" w:customStyle="1">
    <w:name w:val="WWNum5"/>
    <w:basedOn w:val="NoList"/>
  </w:style>
  <w:style w:type="numbering" w:styleId="WWNum6" w:customStyle="1">
    <w:name w:val="WWNum6"/>
    <w:basedOn w:val="NoList"/>
  </w:style>
  <w:style w:type="numbering" w:styleId="WWNum7" w:customStyle="1">
    <w:name w:val="WWNum7"/>
    <w:basedOn w:val="NoList"/>
  </w:style>
  <w:style w:type="numbering" w:styleId="WWNum8" w:customStyle="1">
    <w:name w:val="WWNum8"/>
    <w:basedOn w:val="NoList"/>
  </w:style>
  <w:style w:type="numbering" w:styleId="WWNum9" w:customStyle="1">
    <w:name w:val="WWNum9"/>
    <w:basedOn w:val="NoList"/>
  </w:style>
  <w:style w:type="numbering" w:styleId="WWNum10" w:customStyle="1">
    <w:name w:val="WWNum10"/>
    <w:basedOn w:val="NoList"/>
  </w:style>
  <w:style w:type="numbering" w:styleId="WWNum11" w:customStyle="1">
    <w:name w:val="WWNum11"/>
    <w:basedOn w:val="NoList"/>
  </w:style>
  <w:style w:type="numbering" w:styleId="WWNum12" w:customStyle="1">
    <w:name w:val="WWNum12"/>
    <w:basedOn w:val="NoList"/>
  </w:style>
  <w:style w:type="numbering" w:styleId="WWNum13" w:customStyle="1">
    <w:name w:val="WWNum13"/>
    <w:basedOn w:val="NoList"/>
  </w:style>
  <w:style w:type="table" w:styleId="TableGrid">
    <w:name w:val="Table Grid"/>
    <w:basedOn w:val="TableNormal"/>
    <w:uiPriority w:val="59"/>
    <w:rsid w:val="007A5C9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AMainHeading" w:customStyle="1">
    <w:name w:val="FA: Main Heading"/>
    <w:basedOn w:val="Heading1"/>
    <w:qFormat w:val="1"/>
    <w:rsid w:val="00532FDD"/>
    <w:pPr>
      <w:numPr>
        <w:numId w:val="15"/>
      </w:numPr>
      <w:tabs>
        <w:tab w:val="num" w:pos="360"/>
      </w:tabs>
      <w:spacing w:after="20" w:before="20"/>
      <w:ind w:left="0" w:firstLine="0"/>
    </w:pPr>
    <w:rPr>
      <w:rFonts w:ascii="Arial" w:cs="Arial" w:eastAsia="Calibri" w:hAnsi="Arial"/>
      <w:b w:val="1"/>
      <w:color w:val="auto"/>
      <w:sz w:val="22"/>
      <w:szCs w:val="36"/>
    </w:rPr>
  </w:style>
  <w:style w:type="paragraph" w:styleId="FALevel1" w:customStyle="1">
    <w:name w:val="FA: Level 1"/>
    <w:basedOn w:val="Normal"/>
    <w:link w:val="FALevel1Char"/>
    <w:qFormat w:val="1"/>
    <w:rsid w:val="00532FDD"/>
    <w:pPr>
      <w:widowControl w:val="1"/>
      <w:numPr>
        <w:ilvl w:val="1"/>
        <w:numId w:val="15"/>
      </w:numPr>
      <w:spacing w:after="280" w:before="120" w:line="259" w:lineRule="auto"/>
    </w:pPr>
    <w:rPr>
      <w:rFonts w:ascii="Arial" w:cs="Arial" w:hAnsi="Arial" w:eastAsiaTheme="minorHAnsi"/>
    </w:rPr>
  </w:style>
  <w:style w:type="character" w:styleId="FALevel1Char" w:customStyle="1">
    <w:name w:val="FA: Level 1 Char"/>
    <w:basedOn w:val="DefaultParagraphFont"/>
    <w:link w:val="FALevel1"/>
    <w:rsid w:val="00532FDD"/>
    <w:rPr>
      <w:rFonts w:ascii="Arial" w:cs="Arial" w:hAnsi="Arial" w:eastAsiaTheme="minorHAnsi"/>
    </w:rPr>
  </w:style>
  <w:style w:type="paragraph" w:styleId="FALevel2" w:customStyle="1">
    <w:name w:val="FA: Level 2"/>
    <w:basedOn w:val="Normal"/>
    <w:link w:val="FALevel2Char"/>
    <w:qFormat w:val="1"/>
    <w:rsid w:val="00532FDD"/>
    <w:pPr>
      <w:widowControl w:val="1"/>
      <w:numPr>
        <w:ilvl w:val="2"/>
        <w:numId w:val="15"/>
      </w:numPr>
      <w:spacing w:after="280" w:before="120" w:line="259" w:lineRule="auto"/>
    </w:pPr>
    <w:rPr>
      <w:rFonts w:ascii="Arial" w:cs="Arial" w:hAnsi="Arial" w:eastAsiaTheme="minorHAnsi"/>
    </w:rPr>
  </w:style>
  <w:style w:type="character" w:styleId="FALevel2Char" w:customStyle="1">
    <w:name w:val="FA: Level 2 Char"/>
    <w:basedOn w:val="DefaultParagraphFont"/>
    <w:link w:val="FALevel2"/>
    <w:rsid w:val="00532FDD"/>
    <w:rPr>
      <w:rFonts w:ascii="Arial" w:cs="Arial" w:hAnsi="Arial" w:eastAsiaTheme="minorHAnsi"/>
    </w:rPr>
  </w:style>
  <w:style w:type="character" w:styleId="Heading1Char" w:customStyle="1">
    <w:name w:val="Heading 1 Char"/>
    <w:basedOn w:val="DefaultParagraphFont"/>
    <w:link w:val="Heading1"/>
    <w:uiPriority w:val="9"/>
    <w:rsid w:val="00532FDD"/>
    <w:rPr>
      <w:rFonts w:asciiTheme="majorHAnsi" w:cstheme="majorBidi" w:eastAsiaTheme="majorEastAsia" w:hAnsiTheme="majorHAnsi"/>
      <w:color w:val="2f5496" w:themeColor="accent1" w:themeShade="0000BF"/>
      <w:sz w:val="32"/>
      <w:szCs w:val="32"/>
    </w:rPr>
  </w:style>
  <w:style w:type="paragraph" w:styleId="FABulletPoints" w:customStyle="1">
    <w:name w:val="FA: Bullet Points"/>
    <w:basedOn w:val="Normal"/>
    <w:link w:val="FABulletPointsChar"/>
    <w:qFormat w:val="1"/>
    <w:rsid w:val="00532FDD"/>
    <w:pPr>
      <w:widowControl w:val="1"/>
      <w:tabs>
        <w:tab w:val="num" w:pos="720"/>
      </w:tabs>
      <w:ind w:left="720" w:hanging="720"/>
    </w:pPr>
    <w:rPr>
      <w:rFonts w:ascii="Arial" w:cs="Arial" w:hAnsi="Arial" w:eastAsiaTheme="minorHAnsi"/>
    </w:rPr>
  </w:style>
  <w:style w:type="character" w:styleId="FABulletPointsChar" w:customStyle="1">
    <w:name w:val="FA: Bullet Points Char"/>
    <w:basedOn w:val="DefaultParagraphFont"/>
    <w:link w:val="FABulletPoints"/>
    <w:rsid w:val="00532FDD"/>
    <w:rPr>
      <w:rFonts w:ascii="Arial" w:cs="Arial" w:hAnsi="Arial" w:eastAsiaTheme="minorHAnsi"/>
    </w:rPr>
  </w:style>
  <w:style w:type="paragraph" w:styleId="Revision">
    <w:name w:val="Revision"/>
    <w:hidden w:val="1"/>
    <w:uiPriority w:val="99"/>
    <w:semiHidden w:val="1"/>
    <w:rsid w:val="00CE0EDB"/>
    <w:pPr>
      <w:widowControl w:val="1"/>
    </w:pPr>
  </w:style>
  <w:style w:type="paragraph" w:styleId="NormalWeb">
    <w:name w:val="Normal (Web)"/>
    <w:basedOn w:val="Normal"/>
    <w:uiPriority w:val="99"/>
    <w:unhideWhenUsed w:val="1"/>
    <w:rsid w:val="00DD2C67"/>
    <w:pPr>
      <w:widowControl w:val="1"/>
      <w:spacing w:after="100" w:afterAutospacing="1" w:before="100" w:beforeAutospacing="1"/>
    </w:pPr>
    <w:rPr>
      <w:rFonts w:ascii="Times New Roman" w:cs="Times New Roman" w:eastAsia="Times New Roman" w:hAnsi="Times New Roman"/>
      <w:sz w:val="24"/>
      <w:szCs w:val="24"/>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Pr>
  </w:style>
  <w:style w:type="table" w:styleId="a1" w:customStyle="1">
    <w:basedOn w:val="TableNormal"/>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1OutKxeR6KrUmWUJzonPHjlzavQ==">AMUW2mXgQXxUmO0seZpOjygyTJQMXz6UWEbYQ75oa1lL8hVrxiMrPYTOWKZJSdEIW5cXom5msgJbLbYy/Vl57R/S5DaiCEkgQeAFm9nA5sCQaM23kLhZols5d+L0/ogjBperyxLTHZUnZhBV5o8/NjOgWOgdUX5riiuAWB5sHOgfwA0fvU7bVBXeI5poYEEdB5kiditVFNUpzq8J6cjtTaa44TFfy+0lDVKH+JqPykZqdhaZOrD2HCO0YMmTfpF45ncY73UHr712wCgEg7d/C5cGk3+VX2gy+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2021-07-19T10:07:00Z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